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BFC5D">
      <w:pPr>
        <w:rPr>
          <w:rFonts w:hint="eastAsia" w:ascii="仿宋" w:hAnsi="仿宋" w:eastAsia="仿宋" w:cs="宋体"/>
          <w:b/>
          <w:bCs/>
          <w:color w:val="333333"/>
          <w:kern w:val="0"/>
          <w:sz w:val="32"/>
          <w:szCs w:val="32"/>
          <w:lang w:val="en-US" w:eastAsia="zh-CN"/>
        </w:rPr>
      </w:pPr>
      <w:r>
        <w:rPr>
          <w:rFonts w:hint="eastAsia" w:ascii="仿宋" w:hAnsi="仿宋" w:eastAsia="仿宋" w:cs="宋体"/>
          <w:b/>
          <w:bCs/>
          <w:color w:val="333333"/>
          <w:kern w:val="0"/>
          <w:sz w:val="32"/>
          <w:szCs w:val="32"/>
          <w:lang w:val="en-US" w:eastAsia="zh-CN"/>
        </w:rPr>
        <w:t>附件</w:t>
      </w:r>
      <w:r>
        <w:rPr>
          <w:rFonts w:hint="eastAsia" w:ascii="仿宋" w:hAnsi="仿宋" w:eastAsia="仿宋" w:cs="宋体"/>
          <w:b/>
          <w:bCs/>
          <w:color w:val="333333"/>
          <w:kern w:val="0"/>
          <w:sz w:val="32"/>
          <w:szCs w:val="32"/>
        </w:rPr>
        <w:t>：</w:t>
      </w:r>
      <w:r>
        <w:rPr>
          <w:rFonts w:hint="eastAsia" w:ascii="仿宋" w:hAnsi="仿宋" w:eastAsia="仿宋" w:cs="宋体"/>
          <w:b/>
          <w:bCs/>
          <w:color w:val="333333"/>
          <w:kern w:val="0"/>
          <w:sz w:val="32"/>
          <w:szCs w:val="32"/>
          <w:lang w:val="en-US" w:eastAsia="zh-CN"/>
        </w:rPr>
        <w:t>服务要求</w:t>
      </w:r>
    </w:p>
    <w:p w14:paraId="0C67EB01">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一</w:t>
      </w:r>
      <w:r>
        <w:rPr>
          <w:rFonts w:hint="eastAsia" w:ascii="仿宋" w:hAnsi="仿宋" w:eastAsia="仿宋" w:cs="仿宋"/>
          <w:b/>
          <w:bCs/>
          <w:color w:val="auto"/>
          <w:sz w:val="32"/>
          <w:szCs w:val="32"/>
          <w:highlight w:val="none"/>
        </w:rPr>
        <w:t>、养护范围及清单</w:t>
      </w:r>
      <w:r>
        <w:rPr>
          <w:rFonts w:hint="eastAsia" w:ascii="仿宋" w:hAnsi="仿宋" w:eastAsia="仿宋" w:cs="仿宋"/>
          <w:b/>
          <w:bCs/>
          <w:color w:val="auto"/>
          <w:sz w:val="32"/>
          <w:szCs w:val="32"/>
          <w:highlight w:val="none"/>
          <w:lang w:eastAsia="zh-CN"/>
        </w:rPr>
        <w:t>：</w:t>
      </w:r>
    </w:p>
    <w:p w14:paraId="1C7E60DE">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1.养护范围：殷村村域内德裕路、富裕路、殷村路、和裕路、和谐路等路边公共绿化及殷村家园内公共绿化区域等。</w:t>
      </w:r>
    </w:p>
    <w:p w14:paraId="0C0BA5A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2.养护清单：　</w:t>
      </w:r>
    </w:p>
    <w:tbl>
      <w:tblPr>
        <w:tblStyle w:val="3"/>
        <w:tblW w:w="4996" w:type="pct"/>
        <w:tblInd w:w="0" w:type="dxa"/>
        <w:tblLayout w:type="autofit"/>
        <w:tblCellMar>
          <w:top w:w="0" w:type="dxa"/>
          <w:left w:w="108" w:type="dxa"/>
          <w:bottom w:w="0" w:type="dxa"/>
          <w:right w:w="108" w:type="dxa"/>
        </w:tblCellMar>
      </w:tblPr>
      <w:tblGrid>
        <w:gridCol w:w="755"/>
        <w:gridCol w:w="2221"/>
        <w:gridCol w:w="5539"/>
      </w:tblGrid>
      <w:tr w14:paraId="3B290694">
        <w:tblPrEx>
          <w:tblCellMar>
            <w:top w:w="0" w:type="dxa"/>
            <w:left w:w="108" w:type="dxa"/>
            <w:bottom w:w="0" w:type="dxa"/>
            <w:right w:w="108" w:type="dxa"/>
          </w:tblCellMar>
        </w:tblPrEx>
        <w:trPr>
          <w:trHeight w:val="454" w:hRule="atLeast"/>
        </w:trPr>
        <w:tc>
          <w:tcPr>
            <w:tcW w:w="443" w:type="pct"/>
            <w:tcBorders>
              <w:top w:val="single" w:color="auto" w:sz="4" w:space="0"/>
              <w:left w:val="single" w:color="auto" w:sz="4" w:space="0"/>
              <w:bottom w:val="single" w:color="auto" w:sz="4" w:space="0"/>
              <w:right w:val="single" w:color="auto" w:sz="4" w:space="0"/>
            </w:tcBorders>
            <w:noWrap/>
            <w:vAlign w:val="center"/>
          </w:tcPr>
          <w:p w14:paraId="0730253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1304" w:type="pct"/>
            <w:tcBorders>
              <w:top w:val="single" w:color="auto" w:sz="4" w:space="0"/>
              <w:left w:val="single" w:color="auto" w:sz="4" w:space="0"/>
              <w:bottom w:val="single" w:color="auto" w:sz="4" w:space="0"/>
              <w:right w:val="single" w:color="auto" w:sz="4" w:space="0"/>
            </w:tcBorders>
            <w:noWrap/>
            <w:vAlign w:val="center"/>
          </w:tcPr>
          <w:p w14:paraId="49D5016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项目</w:t>
            </w:r>
          </w:p>
        </w:tc>
        <w:tc>
          <w:tcPr>
            <w:tcW w:w="3251" w:type="pct"/>
            <w:tcBorders>
              <w:top w:val="single" w:color="auto" w:sz="4" w:space="0"/>
              <w:left w:val="single" w:color="auto" w:sz="4" w:space="0"/>
              <w:bottom w:val="single" w:color="auto" w:sz="4" w:space="0"/>
              <w:right w:val="single" w:color="auto" w:sz="4" w:space="0"/>
            </w:tcBorders>
            <w:noWrap/>
            <w:vAlign w:val="center"/>
          </w:tcPr>
          <w:p w14:paraId="795E423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养护内容</w:t>
            </w:r>
          </w:p>
        </w:tc>
      </w:tr>
      <w:tr w14:paraId="48375EBC">
        <w:tblPrEx>
          <w:tblCellMar>
            <w:top w:w="0" w:type="dxa"/>
            <w:left w:w="108" w:type="dxa"/>
            <w:bottom w:w="0" w:type="dxa"/>
            <w:right w:w="108" w:type="dxa"/>
          </w:tblCellMar>
        </w:tblPrEx>
        <w:trPr>
          <w:trHeight w:val="454" w:hRule="atLeast"/>
        </w:trPr>
        <w:tc>
          <w:tcPr>
            <w:tcW w:w="443" w:type="pct"/>
            <w:tcBorders>
              <w:top w:val="nil"/>
              <w:left w:val="single" w:color="auto" w:sz="4" w:space="0"/>
              <w:bottom w:val="single" w:color="auto" w:sz="4" w:space="0"/>
              <w:right w:val="single" w:color="auto" w:sz="4" w:space="0"/>
            </w:tcBorders>
            <w:noWrap/>
            <w:vAlign w:val="center"/>
          </w:tcPr>
          <w:p w14:paraId="3C81EF4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304" w:type="pct"/>
            <w:tcBorders>
              <w:top w:val="nil"/>
              <w:left w:val="single" w:color="auto" w:sz="4" w:space="0"/>
              <w:bottom w:val="single" w:color="auto" w:sz="4" w:space="0"/>
              <w:right w:val="single" w:color="auto" w:sz="4" w:space="0"/>
            </w:tcBorders>
            <w:noWrap/>
            <w:vAlign w:val="center"/>
          </w:tcPr>
          <w:p w14:paraId="341994D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绿化养护</w:t>
            </w:r>
          </w:p>
        </w:tc>
        <w:tc>
          <w:tcPr>
            <w:tcW w:w="3251" w:type="pct"/>
            <w:tcBorders>
              <w:top w:val="nil"/>
              <w:left w:val="single" w:color="auto" w:sz="4" w:space="0"/>
              <w:bottom w:val="single" w:color="auto" w:sz="4" w:space="0"/>
              <w:right w:val="single" w:color="auto" w:sz="4" w:space="0"/>
            </w:tcBorders>
            <w:noWrap/>
            <w:vAlign w:val="center"/>
          </w:tcPr>
          <w:p w14:paraId="4D39449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详见二、养护内容1、绿化养护明细表</w:t>
            </w:r>
          </w:p>
        </w:tc>
      </w:tr>
      <w:tr w14:paraId="1B031DAD">
        <w:tblPrEx>
          <w:tblCellMar>
            <w:top w:w="0" w:type="dxa"/>
            <w:left w:w="108" w:type="dxa"/>
            <w:bottom w:w="0" w:type="dxa"/>
            <w:right w:w="108" w:type="dxa"/>
          </w:tblCellMar>
        </w:tblPrEx>
        <w:trPr>
          <w:trHeight w:val="454" w:hRule="atLeast"/>
        </w:trPr>
        <w:tc>
          <w:tcPr>
            <w:tcW w:w="443" w:type="pct"/>
            <w:tcBorders>
              <w:top w:val="nil"/>
              <w:left w:val="single" w:color="auto" w:sz="4" w:space="0"/>
              <w:bottom w:val="single" w:color="auto" w:sz="4" w:space="0"/>
              <w:right w:val="single" w:color="auto" w:sz="4" w:space="0"/>
            </w:tcBorders>
            <w:noWrap/>
            <w:vAlign w:val="center"/>
          </w:tcPr>
          <w:p w14:paraId="6D68EB7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304" w:type="pct"/>
            <w:tcBorders>
              <w:top w:val="nil"/>
              <w:left w:val="single" w:color="auto" w:sz="4" w:space="0"/>
              <w:bottom w:val="single" w:color="auto" w:sz="4" w:space="0"/>
              <w:right w:val="single" w:color="auto" w:sz="4" w:space="0"/>
            </w:tcBorders>
            <w:noWrap/>
            <w:vAlign w:val="center"/>
          </w:tcPr>
          <w:p w14:paraId="5DD9DCA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大棵树木养护</w:t>
            </w:r>
          </w:p>
        </w:tc>
        <w:tc>
          <w:tcPr>
            <w:tcW w:w="3251" w:type="pct"/>
            <w:tcBorders>
              <w:top w:val="nil"/>
              <w:left w:val="single" w:color="auto" w:sz="4" w:space="0"/>
              <w:bottom w:val="single" w:color="auto" w:sz="4" w:space="0"/>
              <w:right w:val="single" w:color="auto" w:sz="4" w:space="0"/>
            </w:tcBorders>
            <w:noWrap/>
            <w:vAlign w:val="center"/>
          </w:tcPr>
          <w:p w14:paraId="19AFE30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详见二、养护内容2、</w:t>
            </w:r>
            <w:r>
              <w:rPr>
                <w:rFonts w:hint="eastAsia" w:ascii="仿宋" w:hAnsi="仿宋" w:eastAsia="仿宋" w:cs="仿宋"/>
                <w:color w:val="auto"/>
                <w:sz w:val="24"/>
                <w:szCs w:val="24"/>
                <w:highlight w:val="none"/>
              </w:rPr>
              <w:t>大棵树</w:t>
            </w:r>
            <w:r>
              <w:rPr>
                <w:rFonts w:hint="eastAsia" w:ascii="仿宋" w:hAnsi="仿宋" w:eastAsia="仿宋" w:cs="仿宋"/>
                <w:color w:val="auto"/>
                <w:sz w:val="24"/>
                <w:szCs w:val="24"/>
                <w:highlight w:val="none"/>
                <w:lang w:val="en-US" w:eastAsia="zh-CN"/>
              </w:rPr>
              <w:t>木明细表</w:t>
            </w:r>
          </w:p>
        </w:tc>
      </w:tr>
    </w:tbl>
    <w:p w14:paraId="02E735B4">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二、</w:t>
      </w:r>
      <w:r>
        <w:rPr>
          <w:rFonts w:hint="eastAsia" w:ascii="仿宋" w:hAnsi="仿宋" w:eastAsia="仿宋" w:cs="仿宋"/>
          <w:b/>
          <w:bCs/>
          <w:color w:val="auto"/>
          <w:sz w:val="32"/>
          <w:szCs w:val="32"/>
          <w:highlight w:val="none"/>
        </w:rPr>
        <w:t>养护内容</w:t>
      </w:r>
      <w:r>
        <w:rPr>
          <w:rFonts w:hint="eastAsia" w:ascii="仿宋" w:hAnsi="仿宋" w:eastAsia="仿宋" w:cs="仿宋"/>
          <w:b/>
          <w:bCs/>
          <w:color w:val="auto"/>
          <w:sz w:val="32"/>
          <w:szCs w:val="32"/>
          <w:highlight w:val="none"/>
          <w:lang w:eastAsia="zh-CN"/>
        </w:rPr>
        <w:t>：</w:t>
      </w:r>
    </w:p>
    <w:p w14:paraId="7133973F">
      <w:pPr>
        <w:spacing w:line="36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1、绿化养护明细表</w:t>
      </w:r>
    </w:p>
    <w:tbl>
      <w:tblPr>
        <w:tblStyle w:val="3"/>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8"/>
        <w:gridCol w:w="3267"/>
        <w:gridCol w:w="4500"/>
      </w:tblGrid>
      <w:tr w14:paraId="6EC84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ign w:val="center"/>
          </w:tcPr>
          <w:p w14:paraId="7C9ECB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1568D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区域</w:t>
            </w:r>
          </w:p>
        </w:tc>
        <w:tc>
          <w:tcPr>
            <w:tcW w:w="2642" w:type="pct"/>
            <w:tcBorders>
              <w:top w:val="single" w:color="000000" w:sz="4" w:space="0"/>
              <w:left w:val="single" w:color="000000" w:sz="4" w:space="0"/>
              <w:bottom w:val="single" w:color="000000" w:sz="4" w:space="0"/>
              <w:right w:val="single" w:color="000000" w:sz="4" w:space="0"/>
            </w:tcBorders>
            <w:noWrap w:val="0"/>
            <w:vAlign w:val="center"/>
          </w:tcPr>
          <w:p w14:paraId="550B5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本次招标养护面积（㎡）</w:t>
            </w:r>
          </w:p>
        </w:tc>
      </w:tr>
      <w:tr w14:paraId="2268C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089090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7ADD9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殷村路</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46E78D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6760.75</w:t>
            </w:r>
          </w:p>
        </w:tc>
      </w:tr>
      <w:tr w14:paraId="1767E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28E684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0BF04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和裕路</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23C65D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18905.72</w:t>
            </w:r>
          </w:p>
        </w:tc>
      </w:tr>
      <w:tr w14:paraId="3FAB3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4FBA3B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022C63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富裕路</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5C7197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19741.82</w:t>
            </w:r>
          </w:p>
        </w:tc>
      </w:tr>
      <w:tr w14:paraId="47AE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4D03F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5C8573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和谐路</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503A9C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5246.27</w:t>
            </w:r>
          </w:p>
        </w:tc>
      </w:tr>
      <w:tr w14:paraId="31D11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7F1C3E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48E0C3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德裕南路</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316E74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18553.18</w:t>
            </w:r>
          </w:p>
        </w:tc>
      </w:tr>
      <w:tr w14:paraId="3C667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2E6793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13F93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德裕北路</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7AB6E5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11186.5</w:t>
            </w:r>
          </w:p>
        </w:tc>
      </w:tr>
      <w:tr w14:paraId="57935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49F407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74BB9B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常金路殷村段两侧区域</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72B7E7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4881.5</w:t>
            </w:r>
          </w:p>
        </w:tc>
      </w:tr>
      <w:tr w14:paraId="0B59B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44E351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034F5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村委门口</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70BC6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178.6</w:t>
            </w:r>
          </w:p>
        </w:tc>
      </w:tr>
      <w:tr w14:paraId="69470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02550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640F74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殷村家园一区</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717F21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9063.14</w:t>
            </w:r>
          </w:p>
        </w:tc>
      </w:tr>
      <w:tr w14:paraId="45FBB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4E183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39EE22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殷村家园二区</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710C7B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7791.52</w:t>
            </w:r>
          </w:p>
        </w:tc>
      </w:tr>
      <w:tr w14:paraId="175A4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07CAA1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38F97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殷村家园三区</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5C72DE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9310.26</w:t>
            </w:r>
          </w:p>
        </w:tc>
      </w:tr>
      <w:tr w14:paraId="37BC7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33129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40D258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殷村家园五区</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758CE3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3761.5</w:t>
            </w:r>
          </w:p>
        </w:tc>
      </w:tr>
      <w:tr w14:paraId="7D4D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0CB41C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7EB7A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殷村家园六区</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66C89A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4065.67</w:t>
            </w:r>
          </w:p>
        </w:tc>
      </w:tr>
      <w:tr w14:paraId="74880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7C69C9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50106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南环线殷村段两侧草坪</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7B29BE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31831</w:t>
            </w:r>
          </w:p>
        </w:tc>
      </w:tr>
      <w:tr w14:paraId="5A6C9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0EE7EB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2C5189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德裕南路两侧花坛</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77338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3582.9</w:t>
            </w:r>
          </w:p>
        </w:tc>
      </w:tr>
      <w:tr w14:paraId="5B906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14CA8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1917" w:type="pct"/>
            <w:tcBorders>
              <w:top w:val="single" w:color="000000" w:sz="4" w:space="0"/>
              <w:left w:val="single" w:color="000000" w:sz="4" w:space="0"/>
              <w:bottom w:val="single" w:color="000000" w:sz="4" w:space="0"/>
              <w:right w:val="single" w:color="000000" w:sz="4" w:space="0"/>
            </w:tcBorders>
            <w:noWrap w:val="0"/>
            <w:vAlign w:val="center"/>
          </w:tcPr>
          <w:p w14:paraId="2EB5DD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恽氏庭院</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6425E7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8300</w:t>
            </w:r>
          </w:p>
        </w:tc>
      </w:tr>
      <w:tr w14:paraId="50AB3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037E8B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1917" w:type="pct"/>
            <w:tcBorders>
              <w:top w:val="single" w:color="000000" w:sz="4" w:space="0"/>
              <w:left w:val="single" w:color="000000" w:sz="4" w:space="0"/>
              <w:bottom w:val="single" w:color="000000" w:sz="4" w:space="0"/>
              <w:right w:val="single" w:color="000000" w:sz="4" w:space="0"/>
            </w:tcBorders>
            <w:noWrap/>
            <w:vAlign w:val="center"/>
          </w:tcPr>
          <w:p w14:paraId="23A2B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栈道绿化</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522F5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4355</w:t>
            </w:r>
          </w:p>
        </w:tc>
      </w:tr>
      <w:tr w14:paraId="58860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439" w:type="pct"/>
            <w:tcBorders>
              <w:top w:val="single" w:color="000000" w:sz="4" w:space="0"/>
              <w:left w:val="single" w:color="000000" w:sz="4" w:space="0"/>
              <w:bottom w:val="single" w:color="000000" w:sz="4" w:space="0"/>
              <w:right w:val="single" w:color="000000" w:sz="4" w:space="0"/>
            </w:tcBorders>
            <w:noWrap w:val="0"/>
            <w:vAlign w:val="center"/>
          </w:tcPr>
          <w:p w14:paraId="3856FA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1917" w:type="pct"/>
            <w:tcBorders>
              <w:top w:val="single" w:color="000000" w:sz="4" w:space="0"/>
              <w:left w:val="single" w:color="000000" w:sz="4" w:space="0"/>
              <w:bottom w:val="single" w:color="000000" w:sz="4" w:space="0"/>
              <w:right w:val="single" w:color="000000" w:sz="4" w:space="0"/>
            </w:tcBorders>
            <w:noWrap/>
            <w:vAlign w:val="center"/>
          </w:tcPr>
          <w:p w14:paraId="6C4F6A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体育公园</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23D24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12000</w:t>
            </w:r>
          </w:p>
        </w:tc>
      </w:tr>
      <w:tr w14:paraId="68E71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exact"/>
        </w:trPr>
        <w:tc>
          <w:tcPr>
            <w:tcW w:w="2357" w:type="pct"/>
            <w:gridSpan w:val="2"/>
            <w:tcBorders>
              <w:top w:val="single" w:color="000000" w:sz="4" w:space="0"/>
              <w:left w:val="single" w:color="000000" w:sz="4" w:space="0"/>
              <w:bottom w:val="single" w:color="000000" w:sz="4" w:space="0"/>
              <w:right w:val="single" w:color="000000" w:sz="4" w:space="0"/>
            </w:tcBorders>
            <w:noWrap/>
            <w:vAlign w:val="center"/>
          </w:tcPr>
          <w:p w14:paraId="4B9CAB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合计</w:t>
            </w:r>
          </w:p>
        </w:tc>
        <w:tc>
          <w:tcPr>
            <w:tcW w:w="2642" w:type="pct"/>
            <w:tcBorders>
              <w:top w:val="single" w:color="000000" w:sz="4" w:space="0"/>
              <w:left w:val="single" w:color="000000" w:sz="4" w:space="0"/>
              <w:bottom w:val="single" w:color="000000" w:sz="4" w:space="0"/>
              <w:right w:val="single" w:color="000000" w:sz="4" w:space="0"/>
            </w:tcBorders>
            <w:noWrap/>
            <w:vAlign w:val="center"/>
          </w:tcPr>
          <w:p w14:paraId="0F2A51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179515.33</w:t>
            </w:r>
          </w:p>
        </w:tc>
      </w:tr>
    </w:tbl>
    <w:p w14:paraId="617FC64C">
      <w:pPr>
        <w:pStyle w:val="2"/>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auto"/>
          <w:sz w:val="24"/>
          <w:szCs w:val="24"/>
          <w:highlight w:val="none"/>
        </w:rPr>
        <w:t>大棵树</w:t>
      </w:r>
      <w:r>
        <w:rPr>
          <w:rFonts w:hint="eastAsia" w:ascii="仿宋" w:hAnsi="仿宋" w:eastAsia="仿宋" w:cs="仿宋"/>
          <w:color w:val="auto"/>
          <w:sz w:val="24"/>
          <w:szCs w:val="24"/>
          <w:highlight w:val="none"/>
          <w:lang w:val="en-US" w:eastAsia="zh-CN"/>
        </w:rPr>
        <w:t>木</w:t>
      </w:r>
      <w:r>
        <w:rPr>
          <w:rFonts w:hint="eastAsia" w:ascii="仿宋" w:hAnsi="仿宋" w:eastAsia="仿宋" w:cs="仿宋"/>
          <w:color w:val="auto"/>
          <w:kern w:val="2"/>
          <w:sz w:val="24"/>
          <w:szCs w:val="24"/>
          <w:highlight w:val="none"/>
          <w:lang w:val="en-US" w:eastAsia="zh-CN" w:bidi="ar-SA"/>
        </w:rPr>
        <w:t>清单</w:t>
      </w:r>
      <w:r>
        <w:rPr>
          <w:rFonts w:hint="eastAsia" w:ascii="仿宋" w:hAnsi="仿宋" w:eastAsia="仿宋" w:cs="仿宋"/>
          <w:color w:val="auto"/>
          <w:sz w:val="24"/>
          <w:szCs w:val="24"/>
          <w:highlight w:val="none"/>
          <w:lang w:val="en-US" w:eastAsia="zh-CN"/>
        </w:rPr>
        <w:t>明细表</w:t>
      </w:r>
    </w:p>
    <w:tbl>
      <w:tblPr>
        <w:tblStyle w:val="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4"/>
        <w:gridCol w:w="3089"/>
        <w:gridCol w:w="954"/>
        <w:gridCol w:w="954"/>
        <w:gridCol w:w="954"/>
        <w:gridCol w:w="955"/>
        <w:gridCol w:w="957"/>
      </w:tblGrid>
      <w:tr w14:paraId="13512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488020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1812" w:type="pct"/>
            <w:tcBorders>
              <w:top w:val="single" w:color="000000" w:sz="4" w:space="0"/>
              <w:left w:val="single" w:color="000000" w:sz="4" w:space="0"/>
              <w:bottom w:val="single" w:color="000000" w:sz="4" w:space="0"/>
              <w:right w:val="single" w:color="000000" w:sz="4" w:space="0"/>
            </w:tcBorders>
            <w:noWrap w:val="0"/>
            <w:vAlign w:val="center"/>
            <mc:AlternateContent>
              <mc:Choice Requires="wpsCustomData">
                <wpsCustomData:diagonals>
                  <wpsCustomData:diagonal from="10000" to="30000">
                    <wpsCustomData:border w:val="single" w:color="000000" w:sz="4" w:space="0"/>
                  </wpsCustomData:diagonal>
                </wpsCustomData:diagonals>
              </mc:Choice>
            </mc:AlternateContent>
          </w:tcPr>
          <w:p w14:paraId="7A1F8B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p>
          <w:p w14:paraId="5AC886D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区域</w:t>
            </w:r>
          </w:p>
          <w:p w14:paraId="33823E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mc:AlternateContent>
                <mc:Choice Requires="wpsCustomData">
                  <wpsCustomData:diagonalParaType/>
                </mc:Choice>
              </mc:AlternateContent>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 xml:space="preserve"> </w:t>
            </w:r>
          </w:p>
          <w:p w14:paraId="728DD6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品种/数量</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5D82B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香樟</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344103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梧桐</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01762D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榉树</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87DF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广玉兰</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2A224C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其他（2米以上）</w:t>
            </w:r>
          </w:p>
        </w:tc>
      </w:tr>
      <w:tr w14:paraId="4C3C6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1564AA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1E7E1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德裕路</w:t>
            </w:r>
          </w:p>
        </w:tc>
        <w:tc>
          <w:tcPr>
            <w:tcW w:w="560" w:type="pct"/>
            <w:tcBorders>
              <w:top w:val="nil"/>
              <w:left w:val="single" w:color="000000" w:sz="4" w:space="0"/>
              <w:bottom w:val="single" w:color="000000" w:sz="4" w:space="0"/>
              <w:right w:val="single" w:color="000000" w:sz="4" w:space="0"/>
            </w:tcBorders>
            <w:noWrap w:val="0"/>
            <w:vAlign w:val="center"/>
          </w:tcPr>
          <w:p w14:paraId="3AC12D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592</w:t>
            </w:r>
          </w:p>
        </w:tc>
        <w:tc>
          <w:tcPr>
            <w:tcW w:w="560" w:type="pct"/>
            <w:tcBorders>
              <w:top w:val="nil"/>
              <w:left w:val="single" w:color="000000" w:sz="4" w:space="0"/>
              <w:bottom w:val="single" w:color="000000" w:sz="4" w:space="0"/>
              <w:right w:val="single" w:color="000000" w:sz="4" w:space="0"/>
            </w:tcBorders>
            <w:noWrap w:val="0"/>
            <w:vAlign w:val="center"/>
          </w:tcPr>
          <w:p w14:paraId="621ED1A9">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nil"/>
              <w:left w:val="single" w:color="000000" w:sz="4" w:space="0"/>
              <w:bottom w:val="single" w:color="000000" w:sz="4" w:space="0"/>
              <w:right w:val="single" w:color="000000" w:sz="4" w:space="0"/>
            </w:tcBorders>
            <w:noWrap w:val="0"/>
            <w:vAlign w:val="center"/>
          </w:tcPr>
          <w:p w14:paraId="31094BCD">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nil"/>
              <w:left w:val="single" w:color="000000" w:sz="4" w:space="0"/>
              <w:bottom w:val="single" w:color="000000" w:sz="4" w:space="0"/>
              <w:right w:val="single" w:color="000000" w:sz="4" w:space="0"/>
            </w:tcBorders>
            <w:noWrap w:val="0"/>
            <w:vAlign w:val="center"/>
          </w:tcPr>
          <w:p w14:paraId="787DD787">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1" w:type="pct"/>
            <w:tcBorders>
              <w:top w:val="nil"/>
              <w:left w:val="single" w:color="000000" w:sz="4" w:space="0"/>
              <w:bottom w:val="single" w:color="000000" w:sz="4" w:space="0"/>
              <w:right w:val="single" w:color="000000" w:sz="4" w:space="0"/>
            </w:tcBorders>
            <w:noWrap w:val="0"/>
            <w:vAlign w:val="center"/>
          </w:tcPr>
          <w:p w14:paraId="68EAB6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276</w:t>
            </w:r>
          </w:p>
        </w:tc>
      </w:tr>
      <w:tr w14:paraId="3B8AF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33804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03AF5A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常金路往北区域（包括胡庄）</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45DBD5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183</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3C2E9723">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4C8945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14EE1F3">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7EA28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145</w:t>
            </w:r>
          </w:p>
        </w:tc>
      </w:tr>
      <w:tr w14:paraId="2869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017730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4FD5C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富裕路</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6842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211</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3399637">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449E17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66</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2CEBFE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6FB2AB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358</w:t>
            </w:r>
          </w:p>
        </w:tc>
      </w:tr>
      <w:tr w14:paraId="0A3E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6A8C6F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7BE356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和裕路</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2CDB08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151</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53CA086">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0B2B41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316</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60E55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5AB2A5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261</w:t>
            </w:r>
          </w:p>
        </w:tc>
      </w:tr>
      <w:tr w14:paraId="62E1A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486D0C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1ABFB5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和谐路</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2586A3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70</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0BEC20F4">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3C7A95F">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4B568C8D">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62B120AC">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7FA83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2C0072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77744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殷村路</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6E942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2D3781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77</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69E16942">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6CB11BA1">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2170FAF4">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1E559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6ACEB9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143491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杏塘桥</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36041E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8619904">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5F0EA3CC">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69641B6">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47E7FD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r>
      <w:tr w14:paraId="00A36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73ED6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63ADBE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殷杏路</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32138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C5CB2D1">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03BCC3A4">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AC72966">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0A1834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r>
      <w:tr w14:paraId="4B24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15D663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7A8ED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殷村家园一区</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23C2B1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81</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2F79DEC8">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4BBEE197">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E470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89</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33FAD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w:t>
            </w:r>
          </w:p>
        </w:tc>
      </w:tr>
      <w:tr w14:paraId="7AA9D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5D741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6C0338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殷村家园二区</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32763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69</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9396266">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230D790C">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5F756974">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19D6D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87</w:t>
            </w:r>
          </w:p>
        </w:tc>
      </w:tr>
      <w:tr w14:paraId="72115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717F5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5A6BFC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殷村家园三区</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5761CE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2D27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41F5CA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843C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48D75E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227</w:t>
            </w:r>
          </w:p>
        </w:tc>
      </w:tr>
      <w:tr w14:paraId="621F6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36940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47D39E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殷村家园五区</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3FCD2C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72</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020C2B26">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09A373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05ED3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5CF433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327</w:t>
            </w:r>
          </w:p>
        </w:tc>
      </w:tr>
      <w:tr w14:paraId="33FA6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7D244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0814B7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殷村家园六区</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693F44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14DA070">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4DF7F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74A6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02121C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117</w:t>
            </w:r>
          </w:p>
        </w:tc>
      </w:tr>
      <w:tr w14:paraId="6AFF4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384" w:type="pct"/>
            <w:tcBorders>
              <w:top w:val="nil"/>
              <w:left w:val="single" w:color="000000" w:sz="4" w:space="0"/>
              <w:bottom w:val="single" w:color="000000" w:sz="4" w:space="0"/>
              <w:right w:val="single" w:color="000000" w:sz="4" w:space="0"/>
            </w:tcBorders>
            <w:noWrap w:val="0"/>
            <w:vAlign w:val="center"/>
          </w:tcPr>
          <w:p w14:paraId="63154C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1812" w:type="pct"/>
            <w:tcBorders>
              <w:top w:val="single" w:color="000000" w:sz="4" w:space="0"/>
              <w:left w:val="single" w:color="000000" w:sz="4" w:space="0"/>
              <w:bottom w:val="single" w:color="000000" w:sz="4" w:space="0"/>
              <w:right w:val="single" w:color="000000" w:sz="4" w:space="0"/>
            </w:tcBorders>
            <w:noWrap w:val="0"/>
            <w:vAlign w:val="center"/>
          </w:tcPr>
          <w:p w14:paraId="07A0F8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其他</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29DF4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39</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1D2FE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4DB1C201">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332887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36F031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489</w:t>
            </w:r>
          </w:p>
        </w:tc>
      </w:tr>
      <w:tr w14:paraId="1D2E0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197" w:type="pct"/>
            <w:gridSpan w:val="2"/>
            <w:tcBorders>
              <w:top w:val="single" w:color="000000" w:sz="4" w:space="0"/>
              <w:left w:val="single" w:color="000000" w:sz="4" w:space="0"/>
              <w:bottom w:val="single" w:color="000000" w:sz="4" w:space="0"/>
              <w:right w:val="single" w:color="000000" w:sz="4" w:space="0"/>
            </w:tcBorders>
            <w:noWrap w:val="0"/>
            <w:vAlign w:val="center"/>
          </w:tcPr>
          <w:p w14:paraId="49C62F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合计</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2199CD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1620</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1C6930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141</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771951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435</w:t>
            </w:r>
          </w:p>
        </w:tc>
        <w:tc>
          <w:tcPr>
            <w:tcW w:w="560" w:type="pct"/>
            <w:tcBorders>
              <w:top w:val="single" w:color="000000" w:sz="4" w:space="0"/>
              <w:left w:val="single" w:color="000000" w:sz="4" w:space="0"/>
              <w:bottom w:val="single" w:color="000000" w:sz="4" w:space="0"/>
              <w:right w:val="single" w:color="000000" w:sz="4" w:space="0"/>
            </w:tcBorders>
            <w:noWrap w:val="0"/>
            <w:vAlign w:val="center"/>
          </w:tcPr>
          <w:p w14:paraId="3907BC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155</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4DE19A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2374</w:t>
            </w:r>
          </w:p>
        </w:tc>
      </w:tr>
    </w:tbl>
    <w:p w14:paraId="2964B86F">
      <w:pPr>
        <w:rPr>
          <w:rFonts w:hint="eastAsia"/>
          <w:color w:val="auto"/>
          <w:highlight w:val="none"/>
          <w:lang w:val="en-US" w:eastAsia="zh-CN"/>
        </w:rPr>
      </w:pPr>
    </w:p>
    <w:p w14:paraId="2E73FD15">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三、养护质量标准</w:t>
      </w:r>
      <w:r>
        <w:rPr>
          <w:rFonts w:hint="eastAsia" w:ascii="仿宋" w:hAnsi="仿宋" w:eastAsia="仿宋" w:cs="仿宋"/>
          <w:b/>
          <w:bCs/>
          <w:color w:val="auto"/>
          <w:sz w:val="32"/>
          <w:szCs w:val="32"/>
          <w:highlight w:val="none"/>
          <w:lang w:eastAsia="zh-CN"/>
        </w:rPr>
        <w:t>：</w:t>
      </w:r>
    </w:p>
    <w:p w14:paraId="7AB26BD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1、养护区域划分：</w:t>
      </w:r>
    </w:p>
    <w:p w14:paraId="72F8EFD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绿化养护定位二级养护区域。</w:t>
      </w:r>
    </w:p>
    <w:p w14:paraId="5077F568">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2、二级养护质量标准</w:t>
      </w:r>
    </w:p>
    <w:p w14:paraId="7E5513D0">
      <w:pPr>
        <w:spacing w:line="360" w:lineRule="auto"/>
        <w:ind w:firstLine="480" w:firstLineChars="2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2.1行道树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大树</w:t>
      </w:r>
    </w:p>
    <w:p w14:paraId="02C8EC59">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（1）缺株率在1%以下，且不出现连续2棵以上的缺株。</w:t>
      </w:r>
    </w:p>
    <w:p w14:paraId="2895E40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（2）如有树池，则树池完好，无缺角、破损。无树池有边界需保持边界清晰。</w:t>
      </w:r>
    </w:p>
    <w:p w14:paraId="38CD45FF">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（3）长势良好，无枯枝、枯叶，一级分枝点以下萌蘖芽超过10厘米应予以清除，树形较为美观。</w:t>
      </w:r>
    </w:p>
    <w:p w14:paraId="323E4319">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（4）大规模修剪一年两次（春季和冬季），其余生长月份以维持树形为主。修剪技术与频次要求见技术规程。</w:t>
      </w:r>
    </w:p>
    <w:p w14:paraId="070E796D">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（5）应对有条件的行道树进行松土、施肥。</w:t>
      </w:r>
    </w:p>
    <w:p w14:paraId="6ECFB136">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（6）孤植景观树按行道树标准养护。</w:t>
      </w:r>
    </w:p>
    <w:p w14:paraId="3E04E396">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2.2灌木（色块、绿篱）</w:t>
      </w:r>
    </w:p>
    <w:p w14:paraId="68087AEE">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（1）生长旺盛，修剪整齐，线面平顺，不同品种色块宜层次分明。</w:t>
      </w:r>
    </w:p>
    <w:p w14:paraId="15ADFCF8">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（2）死株及时清理。灌木如有缺失，中分带内应及时补种，边绿化带内可将剩余灌木并拢养护，空地补植草坪。</w:t>
      </w:r>
    </w:p>
    <w:p w14:paraId="15A4A86E">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（3）造型灌木（柱形、球形等）必须按照设计或既定形状修剪。</w:t>
      </w:r>
    </w:p>
    <w:p w14:paraId="40A04324">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（4）修剪频次见技术规程。</w:t>
      </w:r>
    </w:p>
    <w:p w14:paraId="40DAF05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可根据当年气候条件适当调节修剪时间和次数。</w:t>
      </w:r>
    </w:p>
    <w:p w14:paraId="6D2A85F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2.3花木</w:t>
      </w:r>
    </w:p>
    <w:p w14:paraId="1A438BA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花木保证开花季节有花可赏。注重花前花后修剪。具体技术要求</w:t>
      </w:r>
      <w:r>
        <w:rPr>
          <w:rFonts w:hint="eastAsia" w:ascii="仿宋" w:hAnsi="仿宋" w:eastAsia="仿宋" w:cs="仿宋"/>
          <w:color w:val="auto"/>
          <w:sz w:val="24"/>
          <w:szCs w:val="24"/>
          <w:highlight w:val="none"/>
          <w:lang w:val="en-US" w:eastAsia="zh-CN"/>
        </w:rPr>
        <w:t>符合国家相关规定</w:t>
      </w:r>
      <w:r>
        <w:rPr>
          <w:rFonts w:hint="eastAsia" w:ascii="仿宋" w:hAnsi="仿宋" w:eastAsia="仿宋" w:cs="仿宋"/>
          <w:color w:val="auto"/>
          <w:sz w:val="24"/>
          <w:szCs w:val="24"/>
          <w:highlight w:val="none"/>
        </w:rPr>
        <w:t>。严禁不顾现状的杀头、抹齐式的修剪。</w:t>
      </w:r>
    </w:p>
    <w:p w14:paraId="4A4AECFE">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2.4草坪</w:t>
      </w:r>
    </w:p>
    <w:p w14:paraId="2B417277">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（1）生长较为旺盛，修剪整齐、及时。</w:t>
      </w:r>
    </w:p>
    <w:p w14:paraId="582C212B">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（2）无大面积死亡，无黄土裸露。斑秃面积不超过1平方米。</w:t>
      </w:r>
    </w:p>
    <w:p w14:paraId="3CE5BEFD">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（3）经常性的除草，杂草面积不超过5%，且观感不明显，除草宜采用人工，如使用除草剂，必须经</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同意。</w:t>
      </w:r>
    </w:p>
    <w:p w14:paraId="611397B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2.5林带</w:t>
      </w:r>
    </w:p>
    <w:p w14:paraId="294FE51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林带间距匀称，疏密得当，萌蘖枝去除。除非成片死亡，一般不用补种。</w:t>
      </w:r>
    </w:p>
    <w:p w14:paraId="541CF8CC">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2.6藤本植物</w:t>
      </w:r>
    </w:p>
    <w:p w14:paraId="6A59D92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分布合理、枝叶覆盖均匀、附着牢固、覆盖度达80%以上。</w:t>
      </w:r>
    </w:p>
    <w:p w14:paraId="2770CDD4">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2.7草花（盆栽草花及地栽草花（含宿根花卉））</w:t>
      </w:r>
    </w:p>
    <w:p w14:paraId="0082FB34">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生长健壮、花繁叶茂、无残花败叶。花坛整洁美观、四季有花、层次分明、图案清晰、色彩搭配适宜。</w:t>
      </w:r>
    </w:p>
    <w:p w14:paraId="2F46E82C">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四、人员与作息时间要求</w:t>
      </w:r>
      <w:r>
        <w:rPr>
          <w:rFonts w:hint="eastAsia" w:ascii="仿宋" w:hAnsi="仿宋" w:eastAsia="仿宋" w:cs="仿宋"/>
          <w:b/>
          <w:bCs/>
          <w:color w:val="auto"/>
          <w:sz w:val="32"/>
          <w:szCs w:val="32"/>
          <w:highlight w:val="none"/>
          <w:lang w:eastAsia="zh-CN"/>
        </w:rPr>
        <w:t>：</w:t>
      </w:r>
    </w:p>
    <w:p w14:paraId="6B9476B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（一）管理人员</w:t>
      </w:r>
    </w:p>
    <w:p w14:paraId="3F5D321B">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负责人</w:t>
      </w:r>
    </w:p>
    <w:p w14:paraId="7B66048E">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sz w:val="24"/>
          <w:szCs w:val="24"/>
          <w:highlight w:val="none"/>
        </w:rPr>
        <w:t>必须配备专职</w:t>
      </w: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负责人</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负责人要求为初级技工或中专以上。</w:t>
      </w:r>
    </w:p>
    <w:p w14:paraId="4EC05958">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其他人</w:t>
      </w:r>
      <w:r>
        <w:rPr>
          <w:rFonts w:hint="eastAsia" w:ascii="仿宋" w:hAnsi="仿宋" w:eastAsia="仿宋" w:cs="仿宋"/>
          <w:color w:val="auto"/>
          <w:sz w:val="24"/>
          <w:szCs w:val="24"/>
          <w:highlight w:val="none"/>
        </w:rPr>
        <w:t>员</w:t>
      </w:r>
    </w:p>
    <w:p w14:paraId="25A793C3">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养护期内必须配备专职养护工</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名，负责日常管护。</w:t>
      </w:r>
    </w:p>
    <w:p w14:paraId="1018DA95">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3、工作时间：星期一至星期五</w:t>
      </w:r>
    </w:p>
    <w:p w14:paraId="194ADFDB">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4、作息时间：8：00——17：00为可安排作息的时间段。</w:t>
      </w: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sz w:val="24"/>
          <w:szCs w:val="24"/>
          <w:highlight w:val="none"/>
        </w:rPr>
        <w:t>可根据养护实际需要安排作息时间。国家法定节日（除春节外）双休日可安排轮休。</w:t>
      </w: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sz w:val="24"/>
          <w:szCs w:val="24"/>
          <w:highlight w:val="none"/>
        </w:rPr>
        <w:t>必须保证不少于平日的一半人员在岗。春节可全员放假。</w:t>
      </w:r>
    </w:p>
    <w:p w14:paraId="6D8A59AB">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将</w:t>
      </w: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sz w:val="24"/>
          <w:szCs w:val="24"/>
          <w:highlight w:val="none"/>
        </w:rPr>
        <w:t>到岗率作为工作重点加以考核。</w:t>
      </w:r>
    </w:p>
    <w:p w14:paraId="64C3A788">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五、施肥与植保</w:t>
      </w:r>
      <w:r>
        <w:rPr>
          <w:rFonts w:hint="eastAsia" w:ascii="仿宋" w:hAnsi="仿宋" w:eastAsia="仿宋" w:cs="仿宋"/>
          <w:b/>
          <w:bCs/>
          <w:color w:val="auto"/>
          <w:sz w:val="32"/>
          <w:szCs w:val="32"/>
          <w:highlight w:val="none"/>
          <w:lang w:eastAsia="zh-CN"/>
        </w:rPr>
        <w:t>：</w:t>
      </w:r>
    </w:p>
    <w:p w14:paraId="46DF984E">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1、施肥是调节植物营养，提高土壤肥力，促进植物生长的重要措施。</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将在一年中至少安排两次普施肥。分别为冬季基肥和春季返青肥。</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级养护区域视情况对花木在开花期增加一次花期肥。施肥、植保时，作业单位应留影像资料备查，施肥的具体技术要求</w:t>
      </w:r>
      <w:r>
        <w:rPr>
          <w:rFonts w:hint="eastAsia" w:ascii="仿宋" w:hAnsi="仿宋" w:eastAsia="仿宋" w:cs="仿宋"/>
          <w:color w:val="auto"/>
          <w:sz w:val="24"/>
          <w:szCs w:val="24"/>
          <w:highlight w:val="none"/>
          <w:lang w:val="en-US" w:eastAsia="zh-CN"/>
        </w:rPr>
        <w:t>符合国家相关规定</w:t>
      </w:r>
      <w:r>
        <w:rPr>
          <w:rFonts w:hint="eastAsia" w:ascii="仿宋" w:hAnsi="仿宋" w:eastAsia="仿宋" w:cs="仿宋"/>
          <w:color w:val="auto"/>
          <w:sz w:val="24"/>
          <w:szCs w:val="24"/>
          <w:highlight w:val="none"/>
        </w:rPr>
        <w:t>。</w:t>
      </w:r>
    </w:p>
    <w:p w14:paraId="6B07B81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2、植保</w:t>
      </w:r>
    </w:p>
    <w:p w14:paraId="3EB3656D">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采用的化学药剂必须选自</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的用药品种目录中。不得擅自选配药种，严禁使用国家已明令禁止的高毒药品（参见农业部632号文《关于禁止五种高毒有机磷农药的公告》）。药品名录见</w:t>
      </w:r>
      <w:r>
        <w:rPr>
          <w:rFonts w:hint="eastAsia" w:ascii="仿宋" w:hAnsi="仿宋" w:eastAsia="仿宋" w:cs="仿宋"/>
          <w:color w:val="auto"/>
          <w:sz w:val="24"/>
          <w:szCs w:val="24"/>
          <w:highlight w:val="none"/>
          <w:lang w:val="en-US" w:eastAsia="zh-CN"/>
        </w:rPr>
        <w:t>国家相关规定</w:t>
      </w:r>
      <w:r>
        <w:rPr>
          <w:rFonts w:hint="eastAsia" w:ascii="仿宋" w:hAnsi="仿宋" w:eastAsia="仿宋" w:cs="仿宋"/>
          <w:color w:val="auto"/>
          <w:sz w:val="24"/>
          <w:szCs w:val="24"/>
          <w:highlight w:val="none"/>
        </w:rPr>
        <w:t>。</w:t>
      </w:r>
    </w:p>
    <w:p w14:paraId="1ED612E7">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提倡病虫害的综合治理措施，利用化学、物理、生物等多种方式使用到植物保护中，逐渐改变单一的化学防治现状。</w:t>
      </w:r>
    </w:p>
    <w:p w14:paraId="0794589C">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应密切关注植保动态。专职巡查人员应将病虫害动向作为巡查的重点工作，一旦发现，应在2日内响应处理，并及时记录，积累资料。</w:t>
      </w:r>
    </w:p>
    <w:p w14:paraId="5760B627">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2.4对食叶性、钻蛀性害虫应严格控制，及时灭杀，对介壳虫等刺吸类虫害应把握治理时间。害虫控制以保护绿化景观效果和植物生长状况为准，将虫口控制在合理密度内。</w:t>
      </w:r>
    </w:p>
    <w:p w14:paraId="7A76EA5A">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六、绿化补种</w:t>
      </w:r>
      <w:r>
        <w:rPr>
          <w:rFonts w:hint="eastAsia" w:ascii="仿宋" w:hAnsi="仿宋" w:eastAsia="仿宋" w:cs="仿宋"/>
          <w:b/>
          <w:bCs/>
          <w:color w:val="auto"/>
          <w:sz w:val="32"/>
          <w:szCs w:val="32"/>
          <w:highlight w:val="none"/>
          <w:lang w:eastAsia="zh-CN"/>
        </w:rPr>
        <w:t>：</w:t>
      </w:r>
    </w:p>
    <w:p w14:paraId="093B383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1、时效要求</w:t>
      </w:r>
    </w:p>
    <w:p w14:paraId="36120DD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发现缺失，</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应及时组织补种。其时效要求如下（自</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批准</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工作计划或</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发出指令之日起算）：</w:t>
      </w:r>
    </w:p>
    <w:p w14:paraId="07A28BDC">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1.1二级养护区域，如在长效考核区域的为7天，其他的空档期不得超过15天。</w:t>
      </w:r>
    </w:p>
    <w:p w14:paraId="02CCBB37">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1.2因补种季节、天气等原因，确属不宜补种的，由</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确认；过程量较大已构成过程改造的，由双方协商工期，</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应按照</w:t>
      </w:r>
      <w:r>
        <w:rPr>
          <w:rFonts w:hint="eastAsia" w:ascii="仿宋" w:hAnsi="仿宋" w:eastAsia="仿宋" w:cs="仿宋"/>
          <w:color w:val="auto"/>
          <w:sz w:val="24"/>
          <w:szCs w:val="24"/>
          <w:highlight w:val="none"/>
          <w:lang w:val="en-US" w:eastAsia="zh-CN"/>
        </w:rPr>
        <w:t>邹区镇</w:t>
      </w:r>
      <w:r>
        <w:rPr>
          <w:rFonts w:hint="eastAsia" w:ascii="仿宋" w:hAnsi="仿宋" w:eastAsia="仿宋" w:cs="仿宋"/>
          <w:color w:val="auto"/>
          <w:sz w:val="24"/>
          <w:szCs w:val="24"/>
          <w:highlight w:val="none"/>
        </w:rPr>
        <w:t>相关管理规定办理各项手续。</w:t>
      </w:r>
    </w:p>
    <w:p w14:paraId="06678C58">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2、补种苗木质保期</w:t>
      </w:r>
    </w:p>
    <w:p w14:paraId="328CE46F">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补种</w:t>
      </w:r>
      <w:r>
        <w:rPr>
          <w:rFonts w:hint="eastAsia" w:ascii="仿宋" w:hAnsi="仿宋" w:eastAsia="仿宋" w:cs="仿宋"/>
          <w:color w:val="auto"/>
          <w:sz w:val="24"/>
          <w:szCs w:val="24"/>
          <w:highlight w:val="none"/>
          <w:lang w:val="en-US" w:eastAsia="zh-CN"/>
        </w:rPr>
        <w:t>乔木、灌木、草坪</w:t>
      </w:r>
      <w:r>
        <w:rPr>
          <w:rFonts w:hint="eastAsia" w:ascii="仿宋" w:hAnsi="仿宋" w:eastAsia="仿宋" w:cs="仿宋"/>
          <w:color w:val="auto"/>
          <w:sz w:val="24"/>
          <w:szCs w:val="24"/>
          <w:highlight w:val="none"/>
        </w:rPr>
        <w:t>质保期为</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年。质保期间，苗木养护费用由乙方自行负责。如</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整个标段养护期小于新补苗质保期的，</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可继续养护补种苗木，也可与</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协商，</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酌情扣除一定的费用补贴给接手养护的单位。</w:t>
      </w:r>
    </w:p>
    <w:p w14:paraId="6C9AD616">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3、苗木补种操纵规程</w:t>
      </w:r>
    </w:p>
    <w:p w14:paraId="0B42A5C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报送补种计划书或</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发出补种指令——</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审核</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补种计划书（列明费用、进度、质量等要求）——</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报上级领导批准——</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进行种植——验收——养护。</w:t>
      </w:r>
    </w:p>
    <w:p w14:paraId="05BB2A79">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七、养护工作资料</w:t>
      </w:r>
      <w:r>
        <w:rPr>
          <w:rFonts w:hint="eastAsia" w:ascii="仿宋" w:hAnsi="仿宋" w:eastAsia="仿宋" w:cs="仿宋"/>
          <w:b/>
          <w:bCs/>
          <w:color w:val="auto"/>
          <w:sz w:val="32"/>
          <w:szCs w:val="32"/>
          <w:highlight w:val="none"/>
          <w:lang w:eastAsia="zh-CN"/>
        </w:rPr>
        <w:t>：</w:t>
      </w:r>
    </w:p>
    <w:p w14:paraId="45DA9CB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应设有专人负责养护内业资料的记录与整理。养护工作资料包括养护作业日志、养护月总结与计划、养护年总结报告等。</w:t>
      </w:r>
    </w:p>
    <w:p w14:paraId="627CAA25">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2、养护作业日志</w:t>
      </w:r>
    </w:p>
    <w:p w14:paraId="7F8F55AD">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2.1养护作业日志记录应完整、系统，内容详实。字迹清晰，易于辨认。</w:t>
      </w:r>
    </w:p>
    <w:p w14:paraId="1A0FF79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2.2养护作业日志记录主要内容应包括：</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当日养护工人人数；当日养护主要作业内容（浇水、施肥、修剪、病害情况与施药等）以及作业区域；违章开挖占用绿化的举报处理工作；其他各类突发事件等）。</w:t>
      </w:r>
    </w:p>
    <w:p w14:paraId="340BFE24">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3、养护月总结与计划</w:t>
      </w:r>
    </w:p>
    <w:p w14:paraId="45B3E12E">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养护月总结与计划应于当月30日报</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。内容能反映出当月及次月的工作安排、技术措施、用工量、时间表等重要信息。养护月总结与计划由</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根据需要制定出格式文本。</w:t>
      </w:r>
    </w:p>
    <w:p w14:paraId="50EAA2C1">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4、养护年总结报告</w:t>
      </w:r>
    </w:p>
    <w:p w14:paraId="4DC98971">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养护实施单位的养护总结报告应在年末和合同养护期结束之前编写完成并报</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。养护作业报告是年末支付以及领取施工保证金的依据之一。养护作业报告应按照</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要求的格式编写。</w:t>
      </w:r>
    </w:p>
    <w:p w14:paraId="066751E2">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八、养护安全文明施工</w:t>
      </w:r>
      <w:r>
        <w:rPr>
          <w:rFonts w:hint="eastAsia" w:ascii="仿宋" w:hAnsi="仿宋" w:eastAsia="仿宋" w:cs="仿宋"/>
          <w:b/>
          <w:bCs/>
          <w:color w:val="auto"/>
          <w:sz w:val="32"/>
          <w:szCs w:val="32"/>
          <w:highlight w:val="none"/>
          <w:lang w:eastAsia="zh-CN"/>
        </w:rPr>
        <w:t>：</w:t>
      </w:r>
    </w:p>
    <w:p w14:paraId="3F232BE5">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1、养护作业人员应统一着装上岗，制服应有反光标志，颜色应以黄、红等视觉明显的色调为宜。背后应印有“邹区镇绿化养护+单位名称（全、简称均可）”的醒目字样。</w:t>
      </w:r>
    </w:p>
    <w:p w14:paraId="1217068A">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2、养护作业人员上岗前，应由养护负责人对其进行技术、安全和相关机械操作的必要培训，安全交底应有书面记录并存档。</w:t>
      </w:r>
    </w:p>
    <w:p w14:paraId="0080A306">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3、养护作业应安全施工，特别应注意高温施工安全、交通安全和高空作业安全。</w:t>
      </w:r>
    </w:p>
    <w:p w14:paraId="5FB3009B">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4、养护作业应文明施工，修剪下的垃圾应及时清理，二级区域应日产日清。养护作业时尽量避免占道施工，如需占道作业要审批、设置警示标志。</w:t>
      </w:r>
    </w:p>
    <w:p w14:paraId="2416814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对绿化修剪产生的粗大坚硬枝干、大量落叶开展现场粉碎处置；同时承担极端天气、自然灾害造成树木倒伏、断裂残枝的应急粉碎处理，就地完成枝条减容作业，粉碎物料统一收集并合规处置，消除现场枝条堆积隐患。</w:t>
      </w:r>
    </w:p>
    <w:p w14:paraId="53EF327A">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w:t>
      </w:r>
      <w:r>
        <w:rPr>
          <w:rFonts w:hint="eastAsia" w:ascii="仿宋" w:hAnsi="仿宋" w:eastAsia="仿宋" w:cs="仿宋"/>
          <w:b/>
          <w:bCs/>
          <w:color w:val="auto"/>
          <w:sz w:val="32"/>
          <w:szCs w:val="32"/>
          <w:highlight w:val="none"/>
          <w:lang w:val="en-US" w:eastAsia="zh-CN"/>
        </w:rPr>
        <w:t>车辆、机械配备</w:t>
      </w:r>
      <w:r>
        <w:rPr>
          <w:rFonts w:hint="eastAsia" w:ascii="仿宋" w:hAnsi="仿宋" w:eastAsia="仿宋" w:cs="仿宋"/>
          <w:b/>
          <w:bCs/>
          <w:color w:val="auto"/>
          <w:sz w:val="32"/>
          <w:szCs w:val="32"/>
          <w:highlight w:val="none"/>
          <w:lang w:eastAsia="zh-CN"/>
        </w:rPr>
        <w:t>：</w:t>
      </w:r>
    </w:p>
    <w:p w14:paraId="0AFA2D39">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1、需配备</w:t>
      </w:r>
      <w:r>
        <w:rPr>
          <w:rFonts w:hint="eastAsia" w:ascii="仿宋" w:hAnsi="仿宋" w:eastAsia="仿宋" w:cs="仿宋"/>
          <w:color w:val="auto"/>
          <w:sz w:val="24"/>
          <w:szCs w:val="24"/>
          <w:highlight w:val="none"/>
        </w:rPr>
        <w:t>专业洒水车、</w:t>
      </w:r>
      <w:r>
        <w:rPr>
          <w:rFonts w:hint="eastAsia" w:ascii="仿宋" w:hAnsi="仿宋" w:eastAsia="仿宋" w:cs="仿宋"/>
          <w:color w:val="auto"/>
          <w:kern w:val="0"/>
          <w:sz w:val="24"/>
          <w:szCs w:val="24"/>
          <w:highlight w:val="none"/>
        </w:rPr>
        <w:t>清运卡车</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登高车</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机动巡查车</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sz w:val="24"/>
          <w:szCs w:val="24"/>
          <w:highlight w:val="none"/>
        </w:rPr>
        <w:t>清运卡车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kern w:val="0"/>
          <w:sz w:val="24"/>
          <w:szCs w:val="24"/>
          <w:highlight w:val="none"/>
        </w:rPr>
        <w:t>移动式树枝粉碎</w:t>
      </w:r>
      <w:r>
        <w:rPr>
          <w:rFonts w:hint="eastAsia" w:ascii="仿宋" w:hAnsi="仿宋" w:eastAsia="仿宋" w:cs="仿宋"/>
          <w:color w:val="auto"/>
          <w:kern w:val="0"/>
          <w:sz w:val="24"/>
          <w:szCs w:val="24"/>
          <w:highlight w:val="none"/>
          <w:lang w:val="en-US" w:eastAsia="zh-CN"/>
        </w:rPr>
        <w:t>车</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w:t>
      </w:r>
    </w:p>
    <w:p w14:paraId="0099ABCA">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2、需配备</w:t>
      </w:r>
      <w:r>
        <w:rPr>
          <w:rFonts w:hint="eastAsia" w:ascii="仿宋" w:hAnsi="仿宋" w:eastAsia="仿宋" w:cs="仿宋"/>
          <w:color w:val="auto"/>
          <w:sz w:val="24"/>
          <w:szCs w:val="24"/>
          <w:highlight w:val="none"/>
        </w:rPr>
        <w:t>专业</w:t>
      </w:r>
      <w:r>
        <w:rPr>
          <w:rFonts w:hint="eastAsia" w:ascii="仿宋" w:hAnsi="仿宋" w:eastAsia="仿宋" w:cs="仿宋"/>
          <w:color w:val="auto"/>
          <w:kern w:val="0"/>
          <w:sz w:val="24"/>
          <w:szCs w:val="24"/>
          <w:highlight w:val="none"/>
          <w:lang w:eastAsia="zh-CN"/>
        </w:rPr>
        <w:t>绿篱机、草坪修剪机（草坪割草机）、割灌机、浇灌水泵、油锯、喷药机（机动喷雾机）、高枝剪、</w:t>
      </w:r>
      <w:r>
        <w:rPr>
          <w:rFonts w:hint="eastAsia" w:ascii="仿宋" w:hAnsi="仿宋" w:eastAsia="仿宋" w:cs="仿宋"/>
          <w:color w:val="auto"/>
          <w:kern w:val="0"/>
          <w:sz w:val="24"/>
          <w:szCs w:val="24"/>
          <w:highlight w:val="none"/>
        </w:rPr>
        <w:t>高压打药机</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w:t>
      </w:r>
    </w:p>
    <w:p w14:paraId="286341F4">
      <w:pPr>
        <w:numPr>
          <w:ilvl w:val="0"/>
          <w:numId w:val="0"/>
        </w:num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中标</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须定期</w:t>
      </w:r>
      <w:r>
        <w:rPr>
          <w:rFonts w:hint="eastAsia" w:ascii="仿宋" w:hAnsi="仿宋" w:eastAsia="仿宋" w:cs="仿宋"/>
          <w:color w:val="auto"/>
          <w:sz w:val="24"/>
          <w:szCs w:val="24"/>
          <w:highlight w:val="none"/>
          <w:lang w:val="en-US" w:eastAsia="zh-CN"/>
        </w:rPr>
        <w:t>维护</w:t>
      </w:r>
      <w:r>
        <w:rPr>
          <w:rFonts w:hint="eastAsia" w:ascii="仿宋" w:hAnsi="仿宋" w:eastAsia="仿宋" w:cs="仿宋"/>
          <w:color w:val="auto"/>
          <w:sz w:val="24"/>
          <w:szCs w:val="24"/>
          <w:highlight w:val="none"/>
        </w:rPr>
        <w:t>作业车辆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机械设备</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车辆证照齐全，</w:t>
      </w:r>
      <w:r>
        <w:rPr>
          <w:rFonts w:hint="eastAsia" w:ascii="仿宋" w:hAnsi="仿宋" w:eastAsia="仿宋" w:cs="仿宋"/>
          <w:color w:val="auto"/>
          <w:sz w:val="24"/>
          <w:szCs w:val="24"/>
          <w:highlight w:val="none"/>
        </w:rPr>
        <w:t>确保车辆状态安全完备。</w:t>
      </w:r>
    </w:p>
    <w:p w14:paraId="4FB16836">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突发险情时，所需作业车辆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机械</w:t>
      </w:r>
      <w:r>
        <w:rPr>
          <w:rFonts w:hint="eastAsia" w:ascii="仿宋" w:hAnsi="仿宋" w:eastAsia="仿宋" w:cs="仿宋"/>
          <w:color w:val="auto"/>
          <w:sz w:val="24"/>
          <w:szCs w:val="24"/>
          <w:highlight w:val="none"/>
        </w:rPr>
        <w:t>须在半小时内到达现场。</w:t>
      </w:r>
    </w:p>
    <w:p w14:paraId="66109BD9">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十</w:t>
      </w:r>
      <w:r>
        <w:rPr>
          <w:rFonts w:hint="eastAsia" w:ascii="仿宋" w:hAnsi="仿宋" w:eastAsia="仿宋" w:cs="仿宋"/>
          <w:b/>
          <w:bCs/>
          <w:color w:val="auto"/>
          <w:sz w:val="32"/>
          <w:szCs w:val="32"/>
          <w:highlight w:val="none"/>
        </w:rPr>
        <w:t>、季节养护标准</w:t>
      </w:r>
      <w:r>
        <w:rPr>
          <w:rFonts w:hint="eastAsia" w:ascii="仿宋" w:hAnsi="仿宋" w:eastAsia="仿宋" w:cs="仿宋"/>
          <w:b/>
          <w:bCs/>
          <w:color w:val="auto"/>
          <w:sz w:val="32"/>
          <w:szCs w:val="32"/>
          <w:highlight w:val="none"/>
          <w:lang w:eastAsia="zh-CN"/>
        </w:rPr>
        <w:t>：</w:t>
      </w:r>
    </w:p>
    <w:p w14:paraId="7D713692">
      <w:pPr>
        <w:spacing w:line="36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符合采购文件要求及现行国家、行业、地方等相关法律法规、技术规范、标准等。</w:t>
      </w:r>
    </w:p>
    <w:p w14:paraId="1EC433B3">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一</w:t>
      </w:r>
      <w:r>
        <w:rPr>
          <w:rFonts w:hint="eastAsia" w:ascii="仿宋" w:hAnsi="仿宋" w:eastAsia="仿宋" w:cs="仿宋"/>
          <w:b/>
          <w:bCs/>
          <w:color w:val="auto"/>
          <w:sz w:val="32"/>
          <w:szCs w:val="32"/>
          <w:highlight w:val="none"/>
        </w:rPr>
        <w:t>、绿化的行政许可管理</w:t>
      </w:r>
      <w:r>
        <w:rPr>
          <w:rFonts w:hint="eastAsia" w:ascii="仿宋" w:hAnsi="仿宋" w:eastAsia="仿宋" w:cs="仿宋"/>
          <w:b/>
          <w:bCs/>
          <w:color w:val="auto"/>
          <w:sz w:val="32"/>
          <w:szCs w:val="32"/>
          <w:highlight w:val="none"/>
          <w:lang w:eastAsia="zh-CN"/>
        </w:rPr>
        <w:t>：</w:t>
      </w:r>
    </w:p>
    <w:p w14:paraId="4683CAC8">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协助</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做好绿化行政许可管理工作。专职巡查资料员应将自己的养护区域每日巡查一遍，发现有未经行政许可私自占用、开挖绿地的，应立即制止，不听劝阻的，应及时报告</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和城管部门。</w:t>
      </w:r>
    </w:p>
    <w:p w14:paraId="58C83A31">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在处理完毕行政许可申请后，应及时将许可决定告知相应的养护负责人或专职巡查员。</w:t>
      </w:r>
    </w:p>
    <w:p w14:paraId="57895511">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二</w:t>
      </w:r>
      <w:r>
        <w:rPr>
          <w:rFonts w:hint="eastAsia" w:ascii="仿宋" w:hAnsi="仿宋" w:eastAsia="仿宋" w:cs="仿宋"/>
          <w:b/>
          <w:bCs/>
          <w:color w:val="auto"/>
          <w:sz w:val="32"/>
          <w:szCs w:val="32"/>
          <w:highlight w:val="none"/>
        </w:rPr>
        <w:t>、绿化的移交</w:t>
      </w:r>
      <w:r>
        <w:rPr>
          <w:rFonts w:hint="eastAsia" w:ascii="仿宋" w:hAnsi="仿宋" w:eastAsia="仿宋" w:cs="仿宋"/>
          <w:b/>
          <w:bCs/>
          <w:color w:val="auto"/>
          <w:sz w:val="32"/>
          <w:szCs w:val="32"/>
          <w:highlight w:val="none"/>
          <w:lang w:eastAsia="zh-CN"/>
        </w:rPr>
        <w:t>：</w:t>
      </w:r>
    </w:p>
    <w:p w14:paraId="0CAECE38">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本条所指绿化移交，系指</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所养护的绿化，在养护期结束后向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及接手</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的移交。</w:t>
      </w:r>
    </w:p>
    <w:p w14:paraId="48922261">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在养护期结束3个月前，应将合同内养护面积上所有苗木清单就品种、数量、规格等再次核对，整理后报</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（书面打印材料和电子文本均要齐全）。</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经核对后，使用新清单进行招标工作。新单位入场后，应在</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的组织下于入场后1个月内会同原</w:t>
      </w:r>
      <w:r>
        <w:rPr>
          <w:rFonts w:hint="eastAsia" w:ascii="仿宋" w:hAnsi="仿宋" w:eastAsia="仿宋" w:cs="仿宋"/>
          <w:color w:val="auto"/>
          <w:sz w:val="24"/>
          <w:szCs w:val="24"/>
          <w:highlight w:val="none"/>
          <w:lang w:val="en-US" w:eastAsia="zh-CN"/>
        </w:rPr>
        <w:t>养护单位</w:t>
      </w:r>
      <w:r>
        <w:rPr>
          <w:rFonts w:hint="eastAsia" w:ascii="仿宋" w:hAnsi="仿宋" w:eastAsia="仿宋" w:cs="仿宋"/>
          <w:color w:val="auto"/>
          <w:sz w:val="24"/>
          <w:szCs w:val="24"/>
          <w:highlight w:val="none"/>
        </w:rPr>
        <w:t>清点清单，核实无误后三方签认移交。办理完毕移交手续后，原</w:t>
      </w:r>
      <w:r>
        <w:rPr>
          <w:rFonts w:hint="eastAsia" w:ascii="仿宋" w:hAnsi="仿宋" w:eastAsia="仿宋" w:cs="仿宋"/>
          <w:color w:val="auto"/>
          <w:sz w:val="24"/>
          <w:szCs w:val="24"/>
          <w:highlight w:val="none"/>
          <w:lang w:val="en-US" w:eastAsia="zh-CN"/>
        </w:rPr>
        <w:t>养护单位</w:t>
      </w:r>
      <w:r>
        <w:rPr>
          <w:rFonts w:hint="eastAsia" w:ascii="仿宋" w:hAnsi="仿宋" w:eastAsia="仿宋" w:cs="仿宋"/>
          <w:color w:val="auto"/>
          <w:sz w:val="24"/>
          <w:szCs w:val="24"/>
          <w:highlight w:val="none"/>
        </w:rPr>
        <w:t>方可办理养护尾款结算和保证金的退还工作。</w:t>
      </w:r>
    </w:p>
    <w:p w14:paraId="1AD13C0A">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三</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eastAsia="zh-CN"/>
        </w:rPr>
        <w:t>承包</w:t>
      </w:r>
      <w:r>
        <w:rPr>
          <w:rFonts w:hint="eastAsia" w:ascii="仿宋" w:hAnsi="仿宋" w:eastAsia="仿宋" w:cs="仿宋"/>
          <w:b/>
          <w:bCs/>
          <w:color w:val="auto"/>
          <w:sz w:val="32"/>
          <w:szCs w:val="32"/>
          <w:highlight w:val="none"/>
        </w:rPr>
        <w:t>方式</w:t>
      </w:r>
      <w:r>
        <w:rPr>
          <w:rFonts w:hint="eastAsia" w:ascii="仿宋" w:hAnsi="仿宋" w:eastAsia="仿宋" w:cs="仿宋"/>
          <w:b/>
          <w:bCs/>
          <w:color w:val="auto"/>
          <w:sz w:val="32"/>
          <w:szCs w:val="32"/>
          <w:highlight w:val="none"/>
          <w:lang w:eastAsia="zh-CN"/>
        </w:rPr>
        <w:t>：</w:t>
      </w:r>
    </w:p>
    <w:p w14:paraId="4E0A7399">
      <w:pPr>
        <w:spacing w:line="360" w:lineRule="auto"/>
        <w:ind w:firstLine="480" w:firstLineChars="200"/>
        <w:jc w:val="left"/>
        <w:outlineLvl w:val="2"/>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固定单价，按时结算</w:t>
      </w:r>
    </w:p>
    <w:p w14:paraId="473037E5">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四</w:t>
      </w:r>
      <w:r>
        <w:rPr>
          <w:rFonts w:hint="eastAsia" w:ascii="仿宋" w:hAnsi="仿宋" w:eastAsia="仿宋" w:cs="仿宋"/>
          <w:b/>
          <w:bCs/>
          <w:color w:val="auto"/>
          <w:sz w:val="32"/>
          <w:szCs w:val="32"/>
          <w:highlight w:val="none"/>
        </w:rPr>
        <w:t>、服务期限</w:t>
      </w:r>
      <w:r>
        <w:rPr>
          <w:rFonts w:hint="eastAsia" w:ascii="仿宋" w:hAnsi="仿宋" w:eastAsia="仿宋" w:cs="仿宋"/>
          <w:b/>
          <w:bCs/>
          <w:color w:val="auto"/>
          <w:sz w:val="32"/>
          <w:szCs w:val="32"/>
          <w:highlight w:val="none"/>
          <w:lang w:eastAsia="zh-CN"/>
        </w:rPr>
        <w:t>：</w:t>
      </w:r>
    </w:p>
    <w:p w14:paraId="0C2401C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叁年，合同一年一签。前一年合同期满，经</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考核合格后方可续签下一年合同。</w:t>
      </w:r>
    </w:p>
    <w:p w14:paraId="63E4015A">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五</w:t>
      </w:r>
      <w:r>
        <w:rPr>
          <w:rFonts w:hint="eastAsia" w:ascii="仿宋" w:hAnsi="仿宋" w:eastAsia="仿宋" w:cs="仿宋"/>
          <w:b/>
          <w:bCs/>
          <w:color w:val="auto"/>
          <w:sz w:val="32"/>
          <w:szCs w:val="32"/>
          <w:highlight w:val="none"/>
        </w:rPr>
        <w:t>、付款方式</w:t>
      </w:r>
      <w:r>
        <w:rPr>
          <w:rFonts w:hint="eastAsia" w:ascii="仿宋" w:hAnsi="仿宋" w:eastAsia="仿宋" w:cs="仿宋"/>
          <w:b/>
          <w:bCs/>
          <w:color w:val="auto"/>
          <w:sz w:val="32"/>
          <w:szCs w:val="32"/>
          <w:highlight w:val="none"/>
          <w:lang w:eastAsia="zh-CN"/>
        </w:rPr>
        <w:t>：</w:t>
      </w:r>
    </w:p>
    <w:p w14:paraId="2CDF6B3B">
      <w:pPr>
        <w:spacing w:line="360" w:lineRule="auto"/>
        <w:ind w:firstLine="480" w:firstLineChars="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招标人按年度支付服务费用。一年服务期满后，依据双方确认的年度实际服务工作量及考核结果，按实结算。</w:t>
      </w:r>
    </w:p>
    <w:p w14:paraId="2CE38B36">
      <w:pPr>
        <w:spacing w:line="360" w:lineRule="auto"/>
        <w:ind w:firstLine="0" w:firstLineChars="0"/>
        <w:jc w:val="left"/>
        <w:outlineLvl w:val="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十六、</w:t>
      </w:r>
      <w:r>
        <w:rPr>
          <w:rFonts w:hint="eastAsia" w:ascii="仿宋" w:hAnsi="仿宋" w:eastAsia="仿宋" w:cs="仿宋"/>
          <w:b/>
          <w:bCs/>
          <w:color w:val="auto"/>
          <w:sz w:val="32"/>
          <w:szCs w:val="32"/>
          <w:highlight w:val="none"/>
        </w:rPr>
        <w:t>考核实施办法</w:t>
      </w:r>
      <w:r>
        <w:rPr>
          <w:rFonts w:hint="eastAsia" w:ascii="仿宋" w:hAnsi="仿宋" w:eastAsia="仿宋" w:cs="仿宋"/>
          <w:b/>
          <w:bCs/>
          <w:color w:val="auto"/>
          <w:sz w:val="32"/>
          <w:szCs w:val="32"/>
          <w:highlight w:val="none"/>
          <w:lang w:eastAsia="zh-CN"/>
        </w:rPr>
        <w:t>：</w:t>
      </w:r>
    </w:p>
    <w:tbl>
      <w:tblPr>
        <w:tblStyle w:val="3"/>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3494"/>
        <w:gridCol w:w="627"/>
        <w:gridCol w:w="1388"/>
        <w:gridCol w:w="1072"/>
        <w:gridCol w:w="1041"/>
        <w:gridCol w:w="399"/>
      </w:tblGrid>
      <w:tr w14:paraId="0B79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000" w:type="pct"/>
            <w:gridSpan w:val="7"/>
            <w:noWrap/>
            <w:vAlign w:val="center"/>
          </w:tcPr>
          <w:p w14:paraId="0CA643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color w:val="auto"/>
                <w:sz w:val="24"/>
                <w:szCs w:val="24"/>
                <w:highlight w:val="none"/>
                <w:lang w:val="en-US" w:eastAsia="zh-CN"/>
              </w:rPr>
              <w:t>邹区镇殷村村绿化养护长效管理考核工作细则</w:t>
            </w:r>
          </w:p>
        </w:tc>
      </w:tr>
      <w:tr w14:paraId="52CB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000" w:type="pct"/>
            <w:gridSpan w:val="7"/>
            <w:noWrap/>
            <w:vAlign w:val="center"/>
          </w:tcPr>
          <w:p w14:paraId="486EBF4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检查日期：   年   月   日    检查区域：      检查人员：         检查得分：   分</w:t>
            </w:r>
          </w:p>
        </w:tc>
      </w:tr>
      <w:tr w14:paraId="0498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0CC4E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2053" w:type="pct"/>
            <w:noWrap w:val="0"/>
            <w:vAlign w:val="center"/>
          </w:tcPr>
          <w:p w14:paraId="44C31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检查内容</w:t>
            </w:r>
          </w:p>
        </w:tc>
        <w:tc>
          <w:tcPr>
            <w:tcW w:w="368" w:type="pct"/>
            <w:noWrap w:val="0"/>
            <w:vAlign w:val="center"/>
          </w:tcPr>
          <w:p w14:paraId="5A0FB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标准分</w:t>
            </w:r>
          </w:p>
        </w:tc>
        <w:tc>
          <w:tcPr>
            <w:tcW w:w="815" w:type="pct"/>
            <w:noWrap w:val="0"/>
            <w:vAlign w:val="center"/>
          </w:tcPr>
          <w:p w14:paraId="0EB449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扣分标准</w:t>
            </w:r>
          </w:p>
        </w:tc>
        <w:tc>
          <w:tcPr>
            <w:tcW w:w="629" w:type="pct"/>
            <w:noWrap w:val="0"/>
            <w:vAlign w:val="center"/>
          </w:tcPr>
          <w:p w14:paraId="7CED3D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扣分情况</w:t>
            </w:r>
          </w:p>
        </w:tc>
        <w:tc>
          <w:tcPr>
            <w:tcW w:w="611" w:type="pct"/>
            <w:noWrap/>
            <w:vAlign w:val="center"/>
          </w:tcPr>
          <w:p w14:paraId="5FE543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扣分说明</w:t>
            </w:r>
          </w:p>
        </w:tc>
        <w:tc>
          <w:tcPr>
            <w:tcW w:w="234" w:type="pct"/>
            <w:noWrap/>
            <w:vAlign w:val="center"/>
          </w:tcPr>
          <w:p w14:paraId="3982B3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备注</w:t>
            </w:r>
          </w:p>
        </w:tc>
      </w:tr>
      <w:tr w14:paraId="1B30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286" w:type="pct"/>
            <w:noWrap w:val="0"/>
            <w:vAlign w:val="center"/>
          </w:tcPr>
          <w:p w14:paraId="53FEB5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053" w:type="pct"/>
            <w:noWrap w:val="0"/>
            <w:vAlign w:val="center"/>
          </w:tcPr>
          <w:p w14:paraId="121E58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建立规范化管理台账，有固定专业绿化养护队伍，齐全的养护队伍资料，有养护岗位责任和内部考核制度。</w:t>
            </w:r>
          </w:p>
        </w:tc>
        <w:tc>
          <w:tcPr>
            <w:tcW w:w="368" w:type="pct"/>
            <w:noWrap w:val="0"/>
            <w:vAlign w:val="center"/>
          </w:tcPr>
          <w:p w14:paraId="4CD187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815" w:type="pct"/>
            <w:noWrap w:val="0"/>
            <w:vAlign w:val="center"/>
          </w:tcPr>
          <w:p w14:paraId="578D32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查阅资料，缺一项扣1分</w:t>
            </w:r>
          </w:p>
        </w:tc>
        <w:tc>
          <w:tcPr>
            <w:tcW w:w="629" w:type="pct"/>
            <w:noWrap w:val="0"/>
            <w:vAlign w:val="center"/>
          </w:tcPr>
          <w:p w14:paraId="6583AAEC">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4F6F060B">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793C51FC">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18B3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86" w:type="pct"/>
            <w:noWrap w:val="0"/>
            <w:vAlign w:val="center"/>
          </w:tcPr>
          <w:p w14:paraId="42578C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053" w:type="pct"/>
            <w:noWrap w:val="0"/>
            <w:vAlign w:val="center"/>
          </w:tcPr>
          <w:p w14:paraId="7177B82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有养护人员每次考勤记录、工作内容记录与考核台账，每月25日前报送村委。</w:t>
            </w:r>
          </w:p>
        </w:tc>
        <w:tc>
          <w:tcPr>
            <w:tcW w:w="368" w:type="pct"/>
            <w:noWrap w:val="0"/>
            <w:vAlign w:val="center"/>
          </w:tcPr>
          <w:p w14:paraId="04D237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815" w:type="pct"/>
            <w:noWrap w:val="0"/>
            <w:vAlign w:val="center"/>
          </w:tcPr>
          <w:p w14:paraId="1E4E67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查阅资料，缺一项扣1分</w:t>
            </w:r>
          </w:p>
        </w:tc>
        <w:tc>
          <w:tcPr>
            <w:tcW w:w="629" w:type="pct"/>
            <w:noWrap w:val="0"/>
            <w:vAlign w:val="center"/>
          </w:tcPr>
          <w:p w14:paraId="147D4379">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6B6E290A">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4F9FBC64">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748A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86" w:type="pct"/>
            <w:noWrap w:val="0"/>
            <w:vAlign w:val="center"/>
          </w:tcPr>
          <w:p w14:paraId="08A5FA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2053" w:type="pct"/>
            <w:noWrap w:val="0"/>
            <w:vAlign w:val="center"/>
          </w:tcPr>
          <w:p w14:paraId="4AC16D5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雨季防涝及时排水，夏季防旱及时浇水，冬季防风保湿。</w:t>
            </w:r>
          </w:p>
        </w:tc>
        <w:tc>
          <w:tcPr>
            <w:tcW w:w="368" w:type="pct"/>
            <w:noWrap w:val="0"/>
            <w:vAlign w:val="center"/>
          </w:tcPr>
          <w:p w14:paraId="30C414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15" w:type="pct"/>
            <w:noWrap w:val="0"/>
            <w:vAlign w:val="center"/>
          </w:tcPr>
          <w:p w14:paraId="032628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有一次不符合要求扣1分</w:t>
            </w:r>
          </w:p>
        </w:tc>
        <w:tc>
          <w:tcPr>
            <w:tcW w:w="629" w:type="pct"/>
            <w:noWrap w:val="0"/>
            <w:vAlign w:val="center"/>
          </w:tcPr>
          <w:p w14:paraId="0A8D91E2">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7BBD0891">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2E24F0B0">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54FA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286" w:type="pct"/>
            <w:noWrap w:val="0"/>
            <w:vAlign w:val="center"/>
          </w:tcPr>
          <w:p w14:paraId="798582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2053" w:type="pct"/>
            <w:noWrap w:val="0"/>
            <w:vAlign w:val="center"/>
          </w:tcPr>
          <w:p w14:paraId="5EE8D2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根据各种苗木品种和绿肥地绿带合理整型修剪，确保苗木形状和绿地绿带的整齐美观效果。</w:t>
            </w:r>
          </w:p>
        </w:tc>
        <w:tc>
          <w:tcPr>
            <w:tcW w:w="368" w:type="pct"/>
            <w:noWrap w:val="0"/>
            <w:vAlign w:val="center"/>
          </w:tcPr>
          <w:p w14:paraId="733B51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815" w:type="pct"/>
            <w:noWrap w:val="0"/>
            <w:vAlign w:val="center"/>
          </w:tcPr>
          <w:p w14:paraId="3E2D59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有一处不符合要求扣1分</w:t>
            </w:r>
          </w:p>
        </w:tc>
        <w:tc>
          <w:tcPr>
            <w:tcW w:w="629" w:type="pct"/>
            <w:noWrap w:val="0"/>
            <w:vAlign w:val="center"/>
          </w:tcPr>
          <w:p w14:paraId="41690978">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69C47E70">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40F6B85E">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73AF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86" w:type="pct"/>
            <w:noWrap w:val="0"/>
            <w:vAlign w:val="center"/>
          </w:tcPr>
          <w:p w14:paraId="2999D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053" w:type="pct"/>
            <w:noWrap w:val="0"/>
            <w:vAlign w:val="center"/>
          </w:tcPr>
          <w:p w14:paraId="183C9A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行道树、孤植树修剪一致，不影响电线、路灯、交通灯。</w:t>
            </w:r>
          </w:p>
        </w:tc>
        <w:tc>
          <w:tcPr>
            <w:tcW w:w="368" w:type="pct"/>
            <w:noWrap w:val="0"/>
            <w:vAlign w:val="center"/>
          </w:tcPr>
          <w:p w14:paraId="4D4EEC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15" w:type="pct"/>
            <w:noWrap w:val="0"/>
            <w:vAlign w:val="center"/>
          </w:tcPr>
          <w:p w14:paraId="5CED4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发现一处扣0.5分</w:t>
            </w:r>
          </w:p>
        </w:tc>
        <w:tc>
          <w:tcPr>
            <w:tcW w:w="629" w:type="pct"/>
            <w:noWrap w:val="0"/>
            <w:vAlign w:val="center"/>
          </w:tcPr>
          <w:p w14:paraId="56760DE5">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2A90BC84">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4442EE34">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27FD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286" w:type="pct"/>
            <w:noWrap w:val="0"/>
            <w:vAlign w:val="center"/>
          </w:tcPr>
          <w:p w14:paraId="4314AC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2053" w:type="pct"/>
            <w:noWrap w:val="0"/>
            <w:vAlign w:val="center"/>
          </w:tcPr>
          <w:p w14:paraId="6BF9C3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经常性采用正确措施清除所有绿化区域内（含行道树、孤植树周围）杂草，常年保持绿地绿带无杂草，确保整洁。</w:t>
            </w:r>
          </w:p>
        </w:tc>
        <w:tc>
          <w:tcPr>
            <w:tcW w:w="368" w:type="pct"/>
            <w:noWrap w:val="0"/>
            <w:vAlign w:val="center"/>
          </w:tcPr>
          <w:p w14:paraId="02F2E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815" w:type="pct"/>
            <w:noWrap w:val="0"/>
            <w:vAlign w:val="center"/>
          </w:tcPr>
          <w:p w14:paraId="489522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发现一处扣0.5分</w:t>
            </w:r>
          </w:p>
        </w:tc>
        <w:tc>
          <w:tcPr>
            <w:tcW w:w="629" w:type="pct"/>
            <w:noWrap w:val="0"/>
            <w:vAlign w:val="center"/>
          </w:tcPr>
          <w:p w14:paraId="18DFE891">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29555532">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341D0398">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251F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10C87E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2053" w:type="pct"/>
            <w:noWrap w:val="0"/>
            <w:vAlign w:val="center"/>
          </w:tcPr>
          <w:p w14:paraId="56AA703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根据苗木生长特性，及时施肥，调节植物营养，提高土壤肥力，促进苗木健康生长。</w:t>
            </w:r>
          </w:p>
        </w:tc>
        <w:tc>
          <w:tcPr>
            <w:tcW w:w="368" w:type="pct"/>
            <w:noWrap w:val="0"/>
            <w:vAlign w:val="center"/>
          </w:tcPr>
          <w:p w14:paraId="0C5C15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15" w:type="pct"/>
            <w:noWrap w:val="0"/>
            <w:vAlign w:val="center"/>
          </w:tcPr>
          <w:p w14:paraId="24103F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发现一处扣0.5分</w:t>
            </w:r>
          </w:p>
        </w:tc>
        <w:tc>
          <w:tcPr>
            <w:tcW w:w="629" w:type="pct"/>
            <w:noWrap w:val="0"/>
            <w:vAlign w:val="center"/>
          </w:tcPr>
          <w:p w14:paraId="1ED07347">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2EBD2A69">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2B35CD01">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0D05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287E05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2053" w:type="pct"/>
            <w:noWrap w:val="0"/>
            <w:vAlign w:val="center"/>
          </w:tcPr>
          <w:p w14:paraId="190B109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正确用药，常年确保无病虫害。</w:t>
            </w:r>
          </w:p>
        </w:tc>
        <w:tc>
          <w:tcPr>
            <w:tcW w:w="368" w:type="pct"/>
            <w:noWrap w:val="0"/>
            <w:vAlign w:val="center"/>
          </w:tcPr>
          <w:p w14:paraId="784F1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15" w:type="pct"/>
            <w:noWrap w:val="0"/>
            <w:vAlign w:val="center"/>
          </w:tcPr>
          <w:p w14:paraId="5EB8A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发现一处扣0.5分</w:t>
            </w:r>
          </w:p>
        </w:tc>
        <w:tc>
          <w:tcPr>
            <w:tcW w:w="629" w:type="pct"/>
            <w:noWrap w:val="0"/>
            <w:vAlign w:val="center"/>
          </w:tcPr>
          <w:p w14:paraId="0535091F">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78FF12CD">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1E9846AF">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354C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42155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053" w:type="pct"/>
            <w:noWrap w:val="0"/>
            <w:vAlign w:val="center"/>
          </w:tcPr>
          <w:p w14:paraId="44BDE7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冬季采取苗木涂白等抗冻防护措施，保护正常生长。</w:t>
            </w:r>
          </w:p>
        </w:tc>
        <w:tc>
          <w:tcPr>
            <w:tcW w:w="368" w:type="pct"/>
            <w:noWrap w:val="0"/>
            <w:vAlign w:val="center"/>
          </w:tcPr>
          <w:p w14:paraId="78115B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15" w:type="pct"/>
            <w:noWrap w:val="0"/>
            <w:vAlign w:val="center"/>
          </w:tcPr>
          <w:p w14:paraId="1C2E15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发现一处扣0.5分</w:t>
            </w:r>
          </w:p>
        </w:tc>
        <w:tc>
          <w:tcPr>
            <w:tcW w:w="629" w:type="pct"/>
            <w:noWrap w:val="0"/>
            <w:vAlign w:val="center"/>
          </w:tcPr>
          <w:p w14:paraId="6D46A6B6">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3120E083">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38D7A10B">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56A2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286" w:type="pct"/>
            <w:noWrap w:val="0"/>
            <w:vAlign w:val="center"/>
          </w:tcPr>
          <w:p w14:paraId="30742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053" w:type="pct"/>
            <w:noWrap w:val="0"/>
            <w:vAlign w:val="center"/>
          </w:tcPr>
          <w:p w14:paraId="6707FE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对枯死苗木花草及秃痢绿肥地应及时上报村委，经批准进行清理、补缺同等规格苗木花草并加强管理，确保成活。</w:t>
            </w:r>
          </w:p>
        </w:tc>
        <w:tc>
          <w:tcPr>
            <w:tcW w:w="368" w:type="pct"/>
            <w:noWrap w:val="0"/>
            <w:vAlign w:val="center"/>
          </w:tcPr>
          <w:p w14:paraId="0927A3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815" w:type="pct"/>
            <w:noWrap w:val="0"/>
            <w:vAlign w:val="center"/>
          </w:tcPr>
          <w:p w14:paraId="07C86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发现一处扣0.5分</w:t>
            </w:r>
          </w:p>
        </w:tc>
        <w:tc>
          <w:tcPr>
            <w:tcW w:w="629" w:type="pct"/>
            <w:noWrap w:val="0"/>
            <w:vAlign w:val="center"/>
          </w:tcPr>
          <w:p w14:paraId="357ED02C">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601A56F2">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7B3A1A0A">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569D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61A8D4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2053" w:type="pct"/>
            <w:noWrap w:val="0"/>
            <w:vAlign w:val="center"/>
          </w:tcPr>
          <w:p w14:paraId="70074E1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如遇暴风雨发生树木倾斜倒伏等情况，及时采取扶正加固措施。</w:t>
            </w:r>
          </w:p>
        </w:tc>
        <w:tc>
          <w:tcPr>
            <w:tcW w:w="368" w:type="pct"/>
            <w:noWrap w:val="0"/>
            <w:vAlign w:val="center"/>
          </w:tcPr>
          <w:p w14:paraId="5F3E0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15" w:type="pct"/>
            <w:noWrap w:val="0"/>
            <w:vAlign w:val="center"/>
          </w:tcPr>
          <w:p w14:paraId="372D1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发现一处扣0.5分</w:t>
            </w:r>
          </w:p>
        </w:tc>
        <w:tc>
          <w:tcPr>
            <w:tcW w:w="629" w:type="pct"/>
            <w:noWrap w:val="0"/>
            <w:vAlign w:val="center"/>
          </w:tcPr>
          <w:p w14:paraId="3E5B3C51">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5534537C">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4C39D77D">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3B54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2F537E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053" w:type="pct"/>
            <w:noWrap w:val="0"/>
            <w:vAlign w:val="center"/>
          </w:tcPr>
          <w:p w14:paraId="7D8709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养护作业时产生的杂草、枝叶等杂物应及时清理并运送出去，确保整洁。</w:t>
            </w:r>
          </w:p>
        </w:tc>
        <w:tc>
          <w:tcPr>
            <w:tcW w:w="368" w:type="pct"/>
            <w:noWrap w:val="0"/>
            <w:vAlign w:val="center"/>
          </w:tcPr>
          <w:p w14:paraId="38666A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815" w:type="pct"/>
            <w:noWrap w:val="0"/>
            <w:vAlign w:val="center"/>
          </w:tcPr>
          <w:p w14:paraId="657C59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发现一处扣0.5分</w:t>
            </w:r>
          </w:p>
        </w:tc>
        <w:tc>
          <w:tcPr>
            <w:tcW w:w="629" w:type="pct"/>
            <w:noWrap w:val="0"/>
            <w:vAlign w:val="center"/>
          </w:tcPr>
          <w:p w14:paraId="3667B216">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4853C228">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226B4C7E">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772F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74961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2053" w:type="pct"/>
            <w:noWrap w:val="0"/>
            <w:vAlign w:val="center"/>
          </w:tcPr>
          <w:p w14:paraId="30D916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有乱砍乱伐、毁坏现象的。</w:t>
            </w:r>
          </w:p>
        </w:tc>
        <w:tc>
          <w:tcPr>
            <w:tcW w:w="368" w:type="pct"/>
            <w:noWrap w:val="0"/>
            <w:vAlign w:val="center"/>
          </w:tcPr>
          <w:p w14:paraId="4E7724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815" w:type="pct"/>
            <w:noWrap w:val="0"/>
            <w:vAlign w:val="center"/>
          </w:tcPr>
          <w:p w14:paraId="0DE03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发现一棵扣1分</w:t>
            </w:r>
          </w:p>
        </w:tc>
        <w:tc>
          <w:tcPr>
            <w:tcW w:w="629" w:type="pct"/>
            <w:noWrap w:val="0"/>
            <w:vAlign w:val="center"/>
          </w:tcPr>
          <w:p w14:paraId="4B79D30D">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4DDB016A">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3FC12F01">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51D5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53B42A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2053" w:type="pct"/>
            <w:noWrap w:val="0"/>
            <w:vAlign w:val="center"/>
          </w:tcPr>
          <w:p w14:paraId="7D004C1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加强对绿化养护区域日常管理，及时发现、制止各种损坏绿化行为，并及时进行补缺。</w:t>
            </w:r>
          </w:p>
        </w:tc>
        <w:tc>
          <w:tcPr>
            <w:tcW w:w="368" w:type="pct"/>
            <w:noWrap w:val="0"/>
            <w:vAlign w:val="center"/>
          </w:tcPr>
          <w:p w14:paraId="43FB5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815" w:type="pct"/>
            <w:noWrap w:val="0"/>
            <w:vAlign w:val="center"/>
          </w:tcPr>
          <w:p w14:paraId="13E24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发现一处扣0.5分</w:t>
            </w:r>
          </w:p>
        </w:tc>
        <w:tc>
          <w:tcPr>
            <w:tcW w:w="629" w:type="pct"/>
            <w:noWrap w:val="0"/>
            <w:vAlign w:val="center"/>
          </w:tcPr>
          <w:p w14:paraId="4C9A54F3">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3C3E3030">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13F5E9B8">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1F37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32BD81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053" w:type="pct"/>
            <w:noWrap w:val="0"/>
            <w:vAlign w:val="center"/>
          </w:tcPr>
          <w:p w14:paraId="5CBDB5B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突发事件或重大活动中，按照村委要求按时完成绿化养护工作。</w:t>
            </w:r>
          </w:p>
        </w:tc>
        <w:tc>
          <w:tcPr>
            <w:tcW w:w="368" w:type="pct"/>
            <w:noWrap/>
            <w:vAlign w:val="center"/>
          </w:tcPr>
          <w:p w14:paraId="14CB69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15" w:type="pct"/>
            <w:noWrap w:val="0"/>
            <w:vAlign w:val="center"/>
          </w:tcPr>
          <w:p w14:paraId="1844E3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有1次扣0.5分</w:t>
            </w:r>
          </w:p>
        </w:tc>
        <w:tc>
          <w:tcPr>
            <w:tcW w:w="629" w:type="pct"/>
            <w:noWrap w:val="0"/>
            <w:vAlign w:val="center"/>
          </w:tcPr>
          <w:p w14:paraId="6FD887CD">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5BA2C8A7">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7D64304D">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r w14:paraId="50BB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86" w:type="pct"/>
            <w:noWrap w:val="0"/>
            <w:vAlign w:val="center"/>
          </w:tcPr>
          <w:p w14:paraId="69470F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2053" w:type="pct"/>
            <w:noWrap w:val="0"/>
            <w:vAlign w:val="center"/>
          </w:tcPr>
          <w:p w14:paraId="54F4FB7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服从村委监督管理，配合做好工作。</w:t>
            </w:r>
          </w:p>
        </w:tc>
        <w:tc>
          <w:tcPr>
            <w:tcW w:w="368" w:type="pct"/>
            <w:noWrap/>
            <w:vAlign w:val="center"/>
          </w:tcPr>
          <w:p w14:paraId="34A9FE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15" w:type="pct"/>
            <w:noWrap w:val="0"/>
            <w:vAlign w:val="center"/>
          </w:tcPr>
          <w:p w14:paraId="3F92B1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有1次扣5分</w:t>
            </w:r>
          </w:p>
        </w:tc>
        <w:tc>
          <w:tcPr>
            <w:tcW w:w="629" w:type="pct"/>
            <w:noWrap w:val="0"/>
            <w:vAlign w:val="center"/>
          </w:tcPr>
          <w:p w14:paraId="44DD0615">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611" w:type="pct"/>
            <w:noWrap w:val="0"/>
            <w:vAlign w:val="center"/>
          </w:tcPr>
          <w:p w14:paraId="081D144A">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c>
          <w:tcPr>
            <w:tcW w:w="234" w:type="pct"/>
            <w:noWrap w:val="0"/>
            <w:vAlign w:val="center"/>
          </w:tcPr>
          <w:p w14:paraId="020DCF28">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i w:val="0"/>
                <w:iCs w:val="0"/>
                <w:color w:val="auto"/>
                <w:sz w:val="24"/>
                <w:szCs w:val="24"/>
                <w:highlight w:val="none"/>
                <w:u w:val="none"/>
              </w:rPr>
            </w:pPr>
          </w:p>
        </w:tc>
      </w:tr>
    </w:tbl>
    <w:p w14:paraId="2AF6AE9A">
      <w:pPr>
        <w:pStyle w:val="2"/>
        <w:rPr>
          <w:rFonts w:hint="eastAsia"/>
          <w:color w:val="auto"/>
          <w:highlight w:val="none"/>
        </w:rPr>
      </w:pPr>
    </w:p>
    <w:p w14:paraId="1BCD30E6">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村委所根据本办法组织月度考核，采取样本抽查和现场随机检查的方式，每月至少</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次(不含台账检查) ，以月为统计周期。</w:t>
      </w:r>
    </w:p>
    <w:p w14:paraId="4BB3633F">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本办法实行百分制考核，扣款采取累计扣款方式（每扣除1分，罚款</w:t>
      </w:r>
      <w:r>
        <w:rPr>
          <w:rFonts w:hint="eastAsia" w:ascii="仿宋" w:hAnsi="仿宋" w:eastAsia="仿宋" w:cs="仿宋"/>
          <w:color w:val="auto"/>
          <w:sz w:val="24"/>
          <w:szCs w:val="24"/>
          <w:highlight w:val="none"/>
          <w:lang w:val="en-US" w:eastAsia="zh-CN"/>
        </w:rPr>
        <w:t>1000</w:t>
      </w:r>
      <w:r>
        <w:rPr>
          <w:rFonts w:hint="eastAsia" w:ascii="仿宋" w:hAnsi="仿宋" w:eastAsia="仿宋" w:cs="仿宋"/>
          <w:color w:val="auto"/>
          <w:sz w:val="24"/>
          <w:szCs w:val="24"/>
          <w:highlight w:val="none"/>
        </w:rPr>
        <w:t>元）。</w:t>
      </w:r>
    </w:p>
    <w:p w14:paraId="15EE58C2">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镇环卫所取证资料必须做到时间与地点清楚、背景清晰，便于中标人查证核对认可。当日的取证资料只保存7个工作日，期内可供中标人查看或复制，过期视为默认。</w:t>
      </w:r>
    </w:p>
    <w:p w14:paraId="0B864A1C">
      <w:pPr>
        <w:spacing w:line="360" w:lineRule="auto"/>
        <w:ind w:firstLine="480" w:firstLineChars="2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中标人在承包期内连续2次或累计3次考核结果在85分（不含85分）以下的，由村委在满足前述条件的次月底前与中标人解除合同。</w:t>
      </w:r>
      <w:r>
        <w:rPr>
          <w:rFonts w:hint="eastAsia" w:ascii="仿宋" w:hAnsi="仿宋" w:eastAsia="仿宋" w:cs="仿宋"/>
          <w:color w:val="auto"/>
          <w:sz w:val="24"/>
          <w:szCs w:val="24"/>
          <w:highlight w:val="none"/>
          <w:lang w:val="en-US" w:eastAsia="zh-CN"/>
        </w:rPr>
        <w:t>年度考核平均分未达</w:t>
      </w:r>
      <w:r>
        <w:rPr>
          <w:rFonts w:hint="eastAsia" w:ascii="仿宋" w:hAnsi="仿宋" w:eastAsia="仿宋" w:cs="仿宋"/>
          <w:color w:val="auto"/>
          <w:sz w:val="24"/>
          <w:szCs w:val="24"/>
          <w:highlight w:val="none"/>
        </w:rPr>
        <w:t>85分</w:t>
      </w:r>
      <w:r>
        <w:rPr>
          <w:rFonts w:hint="eastAsia" w:ascii="仿宋" w:hAnsi="仿宋" w:eastAsia="仿宋" w:cs="仿宋"/>
          <w:color w:val="auto"/>
          <w:sz w:val="24"/>
          <w:szCs w:val="24"/>
          <w:highlight w:val="none"/>
          <w:lang w:val="en-US" w:eastAsia="zh-CN"/>
        </w:rPr>
        <w:t>的，不续签下一年度合同。</w:t>
      </w:r>
    </w:p>
    <w:p w14:paraId="05FC90CA">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中标人在各类应急响应工作，市、区、镇重大活动期间因</w:t>
      </w:r>
      <w:r>
        <w:rPr>
          <w:rFonts w:hint="eastAsia" w:ascii="仿宋" w:hAnsi="仿宋" w:eastAsia="仿宋" w:cs="仿宋"/>
          <w:color w:val="auto"/>
          <w:sz w:val="24"/>
          <w:szCs w:val="24"/>
          <w:highlight w:val="none"/>
          <w:lang w:val="en-US" w:eastAsia="zh-CN"/>
        </w:rPr>
        <w:t>养护</w:t>
      </w:r>
      <w:r>
        <w:rPr>
          <w:rFonts w:hint="eastAsia" w:ascii="仿宋" w:hAnsi="仿宋" w:eastAsia="仿宋" w:cs="仿宋"/>
          <w:color w:val="auto"/>
          <w:sz w:val="24"/>
          <w:szCs w:val="24"/>
          <w:highlight w:val="none"/>
        </w:rPr>
        <w:t>不到位造成重大影响的，村委有权在合同期内提前15天通知中标人解除合同。被解除合同的中标人在被解除合同时日起三年内不得参与本</w:t>
      </w:r>
      <w:r>
        <w:rPr>
          <w:rFonts w:hint="eastAsia" w:ascii="仿宋" w:hAnsi="仿宋" w:eastAsia="仿宋" w:cs="仿宋"/>
          <w:color w:val="auto"/>
          <w:sz w:val="24"/>
          <w:szCs w:val="24"/>
          <w:highlight w:val="none"/>
          <w:lang w:val="en-US" w:eastAsia="zh-CN"/>
        </w:rPr>
        <w:t>村委</w:t>
      </w:r>
      <w:r>
        <w:rPr>
          <w:rFonts w:hint="eastAsia" w:ascii="仿宋" w:hAnsi="仿宋" w:eastAsia="仿宋" w:cs="仿宋"/>
          <w:color w:val="auto"/>
          <w:sz w:val="24"/>
          <w:szCs w:val="24"/>
          <w:highlight w:val="none"/>
        </w:rPr>
        <w:t>环卫作业投标。</w:t>
      </w:r>
    </w:p>
    <w:p w14:paraId="29437D5D">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中标人不能按时支付本合同规定的各项人员支出的（含最低工资标准、市政府专项补贴、“五金”等），</w:t>
      </w:r>
      <w:r>
        <w:rPr>
          <w:rFonts w:hint="eastAsia" w:ascii="仿宋" w:hAnsi="仿宋" w:eastAsia="仿宋" w:cs="仿宋"/>
          <w:color w:val="auto"/>
          <w:sz w:val="24"/>
          <w:szCs w:val="24"/>
          <w:highlight w:val="none"/>
          <w:lang w:val="en-US" w:eastAsia="zh-CN"/>
        </w:rPr>
        <w:t>村委</w:t>
      </w:r>
      <w:r>
        <w:rPr>
          <w:rFonts w:hint="eastAsia" w:ascii="仿宋" w:hAnsi="仿宋" w:eastAsia="仿宋" w:cs="仿宋"/>
          <w:color w:val="auto"/>
          <w:sz w:val="24"/>
          <w:szCs w:val="24"/>
          <w:highlight w:val="none"/>
        </w:rPr>
        <w:t>有权在合同期内提前15天通知中标人解除合同。被解除合同的中标人在被解除合同时日起三年内不得参与本</w:t>
      </w:r>
      <w:r>
        <w:rPr>
          <w:rFonts w:hint="eastAsia" w:ascii="仿宋" w:hAnsi="仿宋" w:eastAsia="仿宋" w:cs="仿宋"/>
          <w:color w:val="auto"/>
          <w:sz w:val="24"/>
          <w:szCs w:val="24"/>
          <w:highlight w:val="none"/>
          <w:lang w:val="en-US" w:eastAsia="zh-CN"/>
        </w:rPr>
        <w:t>村绿化养护</w:t>
      </w:r>
      <w:r>
        <w:rPr>
          <w:rFonts w:hint="eastAsia" w:ascii="仿宋" w:hAnsi="仿宋" w:eastAsia="仿宋" w:cs="仿宋"/>
          <w:color w:val="auto"/>
          <w:sz w:val="24"/>
          <w:szCs w:val="24"/>
          <w:highlight w:val="none"/>
        </w:rPr>
        <w:t>作业投标。</w:t>
      </w:r>
    </w:p>
    <w:p w14:paraId="7B092A35">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被解除合同后</w:t>
      </w:r>
      <w:r>
        <w:rPr>
          <w:rFonts w:hint="eastAsia" w:ascii="仿宋" w:hAnsi="仿宋" w:eastAsia="仿宋" w:cs="仿宋"/>
          <w:color w:val="auto"/>
          <w:sz w:val="24"/>
          <w:szCs w:val="24"/>
          <w:highlight w:val="none"/>
          <w:lang w:val="en-US" w:eastAsia="zh-CN"/>
        </w:rPr>
        <w:t>本项目</w:t>
      </w:r>
      <w:r>
        <w:rPr>
          <w:rFonts w:hint="eastAsia" w:ascii="仿宋" w:hAnsi="仿宋" w:eastAsia="仿宋" w:cs="仿宋"/>
          <w:color w:val="auto"/>
          <w:sz w:val="24"/>
          <w:szCs w:val="24"/>
          <w:highlight w:val="none"/>
        </w:rPr>
        <w:t>由相邻</w:t>
      </w:r>
      <w:r>
        <w:rPr>
          <w:rFonts w:hint="eastAsia" w:ascii="仿宋" w:hAnsi="仿宋" w:eastAsia="仿宋" w:cs="仿宋"/>
          <w:color w:val="auto"/>
          <w:sz w:val="24"/>
          <w:szCs w:val="24"/>
          <w:highlight w:val="none"/>
          <w:lang w:val="en-US" w:eastAsia="zh-CN"/>
        </w:rPr>
        <w:t>区域绿化养护作业单位</w:t>
      </w:r>
      <w:r>
        <w:rPr>
          <w:rFonts w:hint="eastAsia" w:ascii="仿宋" w:hAnsi="仿宋" w:eastAsia="仿宋" w:cs="仿宋"/>
          <w:color w:val="auto"/>
          <w:sz w:val="24"/>
          <w:szCs w:val="24"/>
          <w:highlight w:val="none"/>
        </w:rPr>
        <w:t>临时代管（由村委组织签订临时代管合同），作业及考核要求与本合同一致。代管期限最长不得超过3个月，且代管期内遇合同到期则代管自动终止。</w:t>
      </w:r>
    </w:p>
    <w:p w14:paraId="3C7F0C93">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钟楼区邹区镇</w:t>
      </w:r>
      <w:r>
        <w:rPr>
          <w:rFonts w:hint="eastAsia" w:ascii="仿宋" w:hAnsi="仿宋" w:eastAsia="仿宋" w:cs="仿宋"/>
          <w:color w:val="auto"/>
          <w:sz w:val="24"/>
          <w:szCs w:val="24"/>
          <w:highlight w:val="none"/>
          <w:lang w:val="en-US" w:eastAsia="zh-CN"/>
        </w:rPr>
        <w:t>殷村</w:t>
      </w:r>
      <w:r>
        <w:rPr>
          <w:rFonts w:hint="eastAsia" w:ascii="仿宋" w:hAnsi="仿宋" w:eastAsia="仿宋" w:cs="仿宋"/>
          <w:color w:val="auto"/>
          <w:sz w:val="24"/>
          <w:szCs w:val="24"/>
          <w:highlight w:val="none"/>
        </w:rPr>
        <w:t>村委对该考评细则拥有最终解释权和变更权。</w:t>
      </w:r>
    </w:p>
    <w:p w14:paraId="1E779F7F">
      <w:pPr>
        <w:rPr>
          <w:rFonts w:hint="eastAsia" w:ascii="仿宋" w:hAnsi="仿宋" w:eastAsia="仿宋" w:cs="宋体"/>
          <w:color w:val="333333"/>
          <w:kern w:val="0"/>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4A7181"/>
    <w:rsid w:val="40556AC9"/>
    <w:rsid w:val="6042104C"/>
    <w:rsid w:val="7AD01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kern w:val="0"/>
      <w:sz w:val="24"/>
      <w:szCs w:val="24"/>
    </w:r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335</Words>
  <Characters>454</Characters>
  <Lines>0</Lines>
  <Paragraphs>0</Paragraphs>
  <TotalTime>9</TotalTime>
  <ScaleCrop>false</ScaleCrop>
  <LinksUpToDate>false</LinksUpToDate>
  <CharactersWithSpaces>456</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2026-09-09T04:34:00Z</dcterms:created>
  <dc:creator>Administrator</dc:creator>
  <cp:lastModifiedBy>51525</cp:lastModifiedBy>
  <dcterms:modified xsi:type="dcterms:W3CDTF">2026-09-10T04:23:38Z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eyJoZGlkIjoiZGNjYWYyODkzNGRmYTg1NjI3Y2RmNWI4MWFkNTE4OTYiLCJ1c2VySWQiOiI1MTQxNzA4MzcifQ==</vt:lpwstr>
  </property>
  <property fmtid="{D5CDD505-2E9C-101B-9397-08002B2CF9AE}" pid="4" name="ICV">
    <vt:lpwstr>8DA31AE69AD7404EB5AB394D15CBBA6E_12</vt:lpwstr>
  </property>
</Properties>
</file>