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34595">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附件：</w:t>
      </w:r>
    </w:p>
    <w:p w14:paraId="0C3B81DD">
      <w:pPr>
        <w:spacing w:line="360" w:lineRule="auto"/>
        <w:ind w:firstLine="0" w:firstLineChars="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一、项目概况</w:t>
      </w:r>
    </w:p>
    <w:p w14:paraId="51823F31">
      <w:pPr>
        <w:keepNext w:val="0"/>
        <w:keepLines w:val="0"/>
        <w:pageBreakBefore w:val="0"/>
        <w:kinsoku/>
        <w:wordWrap/>
        <w:overflowPunct/>
        <w:topLinePunct w:val="0"/>
        <w:autoSpaceDE/>
        <w:autoSpaceDN/>
        <w:bidi w:val="0"/>
        <w:adjustRightInd/>
        <w:snapToGrid w:val="0"/>
        <w:spacing w:line="360" w:lineRule="auto"/>
        <w:ind w:firstLine="472" w:firstLineChars="200"/>
        <w:textAlignment w:val="auto"/>
        <w:rPr>
          <w:rFonts w:hint="eastAsia" w:ascii="仿宋" w:hAnsi="仿宋" w:eastAsia="仿宋" w:cs="仿宋"/>
          <w:color w:val="auto"/>
          <w:spacing w:val="-2"/>
          <w:sz w:val="24"/>
          <w:szCs w:val="24"/>
          <w:highlight w:val="none"/>
        </w:rPr>
      </w:pPr>
      <w:r>
        <w:rPr>
          <w:rFonts w:hint="eastAsia" w:ascii="仿宋" w:hAnsi="仿宋" w:eastAsia="仿宋" w:cs="仿宋"/>
          <w:color w:val="auto"/>
          <w:spacing w:val="-2"/>
          <w:sz w:val="24"/>
          <w:szCs w:val="24"/>
          <w:highlight w:val="none"/>
        </w:rPr>
        <w:t>本项</w:t>
      </w:r>
      <w:r>
        <w:rPr>
          <w:rFonts w:hint="eastAsia" w:ascii="仿宋" w:hAnsi="仿宋" w:eastAsia="仿宋" w:cs="仿宋"/>
          <w:color w:val="auto"/>
          <w:spacing w:val="-2"/>
          <w:sz w:val="24"/>
          <w:szCs w:val="24"/>
          <w:highlight w:val="none"/>
          <w:lang w:val="en-US" w:eastAsia="zh-CN"/>
        </w:rPr>
        <w:t>目</w:t>
      </w:r>
      <w:r>
        <w:rPr>
          <w:rFonts w:hint="eastAsia" w:ascii="仿宋" w:hAnsi="仿宋" w:eastAsia="仿宋" w:cs="仿宋"/>
          <w:color w:val="auto"/>
          <w:spacing w:val="-2"/>
          <w:sz w:val="24"/>
          <w:szCs w:val="24"/>
          <w:highlight w:val="none"/>
        </w:rPr>
        <w:t>为新新工业园物业管理服务项目。规划建筑面积126000㎡，目前共建有9幢厂房，建筑面积</w:t>
      </w:r>
      <w:r>
        <w:rPr>
          <w:rFonts w:hint="eastAsia" w:ascii="仿宋" w:hAnsi="仿宋" w:eastAsia="仿宋" w:cs="仿宋"/>
          <w:color w:val="auto"/>
          <w:spacing w:val="-2"/>
          <w:sz w:val="24"/>
          <w:szCs w:val="24"/>
          <w:highlight w:val="none"/>
          <w:lang w:eastAsia="zh-CN"/>
        </w:rPr>
        <w:t>62100</w:t>
      </w:r>
      <w:r>
        <w:rPr>
          <w:rFonts w:hint="eastAsia" w:ascii="仿宋" w:hAnsi="仿宋" w:eastAsia="仿宋" w:cs="仿宋"/>
          <w:color w:val="auto"/>
          <w:spacing w:val="-2"/>
          <w:sz w:val="24"/>
          <w:szCs w:val="24"/>
          <w:highlight w:val="none"/>
        </w:rPr>
        <w:t>㎡。道路面积：25000㎡，绿化面积：14800㎡。包括但不限于</w:t>
      </w:r>
      <w:r>
        <w:rPr>
          <w:rFonts w:hint="eastAsia" w:ascii="仿宋" w:hAnsi="仿宋" w:eastAsia="仿宋" w:cs="仿宋"/>
          <w:color w:val="auto"/>
          <w:spacing w:val="-2"/>
          <w:sz w:val="24"/>
          <w:szCs w:val="24"/>
          <w:highlight w:val="none"/>
          <w:lang w:val="en-US" w:eastAsia="zh-CN"/>
        </w:rPr>
        <w:t>招标</w:t>
      </w:r>
      <w:r>
        <w:rPr>
          <w:rFonts w:hint="eastAsia" w:ascii="仿宋" w:hAnsi="仿宋" w:eastAsia="仿宋" w:cs="仿宋"/>
          <w:color w:val="auto"/>
          <w:spacing w:val="-2"/>
          <w:sz w:val="24"/>
          <w:szCs w:val="24"/>
          <w:highlight w:val="none"/>
        </w:rPr>
        <w:t>文件及其基本技术要求范围内综合管理服务</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公共区域清洁卫生服务</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公共区域秩序维护服务</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共用部位、共用设备设施日常运行维护服务</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公共区域绿化养护服务以及</w:t>
      </w:r>
      <w:r>
        <w:rPr>
          <w:rFonts w:hint="eastAsia" w:ascii="仿宋" w:hAnsi="仿宋" w:eastAsia="仿宋" w:cs="仿宋"/>
          <w:color w:val="auto"/>
          <w:spacing w:val="-2"/>
          <w:sz w:val="24"/>
          <w:szCs w:val="24"/>
          <w:highlight w:val="none"/>
          <w:lang w:val="en-US" w:eastAsia="zh-CN"/>
        </w:rPr>
        <w:t>招标</w:t>
      </w:r>
      <w:r>
        <w:rPr>
          <w:rFonts w:hint="eastAsia" w:ascii="仿宋" w:hAnsi="仿宋" w:eastAsia="仿宋" w:cs="仿宋"/>
          <w:color w:val="auto"/>
          <w:spacing w:val="-2"/>
          <w:sz w:val="24"/>
          <w:szCs w:val="24"/>
          <w:highlight w:val="none"/>
        </w:rPr>
        <w:t>文件所要求的相关服务等全部内容。</w:t>
      </w:r>
    </w:p>
    <w:p w14:paraId="631818B5">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二、服务期限</w:t>
      </w:r>
    </w:p>
    <w:p w14:paraId="7917EAF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1、服务期限：</w:t>
      </w:r>
      <w:r>
        <w:rPr>
          <w:rFonts w:hint="eastAsia" w:ascii="仿宋" w:hAnsi="仿宋" w:eastAsia="仿宋" w:cs="仿宋"/>
          <w:b w:val="0"/>
          <w:bCs w:val="0"/>
          <w:color w:val="auto"/>
          <w:sz w:val="24"/>
          <w:szCs w:val="24"/>
          <w:highlight w:val="none"/>
        </w:rPr>
        <w:t>三年，合同一年一签。一年合同期满后经</w:t>
      </w:r>
      <w:r>
        <w:rPr>
          <w:rFonts w:hint="eastAsia" w:ascii="仿宋" w:hAnsi="仿宋" w:eastAsia="仿宋" w:cs="仿宋"/>
          <w:b w:val="0"/>
          <w:bCs w:val="0"/>
          <w:color w:val="auto"/>
          <w:sz w:val="24"/>
          <w:szCs w:val="24"/>
          <w:highlight w:val="none"/>
          <w:lang w:eastAsia="zh-CN"/>
        </w:rPr>
        <w:t>招标人</w:t>
      </w:r>
      <w:r>
        <w:rPr>
          <w:rFonts w:hint="eastAsia" w:ascii="仿宋" w:hAnsi="仿宋" w:eastAsia="仿宋" w:cs="仿宋"/>
          <w:b w:val="0"/>
          <w:bCs w:val="0"/>
          <w:color w:val="auto"/>
          <w:sz w:val="24"/>
          <w:szCs w:val="24"/>
          <w:highlight w:val="none"/>
        </w:rPr>
        <w:t>考核合格后可续签下一年合同，服务期限总累计不得超过三年；考核不合格的，终止合同不再续签。</w:t>
      </w:r>
    </w:p>
    <w:p w14:paraId="0110C080">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rPr>
      </w:pPr>
      <w:r>
        <w:rPr>
          <w:rStyle w:val="5"/>
          <w:rFonts w:hint="eastAsia" w:ascii="仿宋" w:hAnsi="仿宋" w:eastAsia="仿宋" w:cs="仿宋"/>
          <w:b w:val="0"/>
          <w:bCs w:val="0"/>
          <w:color w:val="auto"/>
          <w:sz w:val="24"/>
          <w:szCs w:val="24"/>
          <w:highlight w:val="none"/>
        </w:rPr>
        <w:t>2、第一年期合同内，前三个月为试用期。如三个月试用期内中标人物业服务工作无法满足</w:t>
      </w:r>
      <w:r>
        <w:rPr>
          <w:rStyle w:val="5"/>
          <w:rFonts w:hint="eastAsia" w:ascii="仿宋" w:hAnsi="仿宋" w:eastAsia="仿宋" w:cs="仿宋"/>
          <w:b w:val="0"/>
          <w:bCs w:val="0"/>
          <w:color w:val="auto"/>
          <w:sz w:val="24"/>
          <w:szCs w:val="24"/>
          <w:highlight w:val="none"/>
          <w:lang w:eastAsia="zh-CN"/>
        </w:rPr>
        <w:t>招标人</w:t>
      </w:r>
      <w:r>
        <w:rPr>
          <w:rStyle w:val="5"/>
          <w:rFonts w:hint="eastAsia" w:ascii="仿宋" w:hAnsi="仿宋" w:eastAsia="仿宋" w:cs="仿宋"/>
          <w:b w:val="0"/>
          <w:bCs w:val="0"/>
          <w:color w:val="auto"/>
          <w:sz w:val="24"/>
          <w:szCs w:val="24"/>
          <w:highlight w:val="none"/>
        </w:rPr>
        <w:t>要求的，</w:t>
      </w:r>
      <w:r>
        <w:rPr>
          <w:rStyle w:val="5"/>
          <w:rFonts w:hint="eastAsia" w:ascii="仿宋" w:hAnsi="仿宋" w:eastAsia="仿宋" w:cs="仿宋"/>
          <w:b w:val="0"/>
          <w:bCs w:val="0"/>
          <w:color w:val="auto"/>
          <w:sz w:val="24"/>
          <w:szCs w:val="24"/>
          <w:highlight w:val="none"/>
          <w:lang w:eastAsia="zh-CN"/>
        </w:rPr>
        <w:t>招标人</w:t>
      </w:r>
      <w:r>
        <w:rPr>
          <w:rStyle w:val="5"/>
          <w:rFonts w:hint="eastAsia" w:ascii="仿宋" w:hAnsi="仿宋" w:eastAsia="仿宋" w:cs="仿宋"/>
          <w:b w:val="0"/>
          <w:bCs w:val="0"/>
          <w:color w:val="auto"/>
          <w:sz w:val="24"/>
          <w:szCs w:val="24"/>
          <w:highlight w:val="none"/>
        </w:rPr>
        <w:t>有权随时单方面解除合同且不承担违约责任，并与评审结果得分排名第二位的投标人重新签订服务合同。</w:t>
      </w:r>
    </w:p>
    <w:p w14:paraId="59458AE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rPr>
      </w:pPr>
      <w:r>
        <w:rPr>
          <w:rStyle w:val="5"/>
          <w:rFonts w:hint="eastAsia" w:ascii="仿宋" w:hAnsi="仿宋" w:eastAsia="仿宋" w:cs="仿宋"/>
          <w:b w:val="0"/>
          <w:bCs w:val="0"/>
          <w:color w:val="auto"/>
          <w:sz w:val="24"/>
          <w:szCs w:val="24"/>
          <w:highlight w:val="none"/>
        </w:rPr>
        <w:t>3、每年服务期满后，</w:t>
      </w:r>
      <w:r>
        <w:rPr>
          <w:rStyle w:val="5"/>
          <w:rFonts w:hint="eastAsia" w:ascii="仿宋" w:hAnsi="仿宋" w:eastAsia="仿宋" w:cs="仿宋"/>
          <w:b w:val="0"/>
          <w:bCs w:val="0"/>
          <w:color w:val="auto"/>
          <w:sz w:val="24"/>
          <w:szCs w:val="24"/>
          <w:highlight w:val="none"/>
          <w:lang w:eastAsia="zh-CN"/>
        </w:rPr>
        <w:t>招标人</w:t>
      </w:r>
      <w:r>
        <w:rPr>
          <w:rStyle w:val="5"/>
          <w:rFonts w:hint="eastAsia" w:ascii="仿宋" w:hAnsi="仿宋" w:eastAsia="仿宋" w:cs="仿宋"/>
          <w:b w:val="0"/>
          <w:bCs w:val="0"/>
          <w:color w:val="auto"/>
          <w:sz w:val="24"/>
          <w:szCs w:val="24"/>
          <w:highlight w:val="none"/>
        </w:rPr>
        <w:t>有权根据全年考核结果决定是否与中标人续签下一年合同，并提前三十日告知中标人。考核不合格的，终止合同不再续签。</w:t>
      </w:r>
    </w:p>
    <w:p w14:paraId="696B8846">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ascii="仿宋" w:hAnsi="仿宋" w:eastAsia="仿宋" w:cs="仿宋"/>
          <w:b w:val="0"/>
          <w:bCs w:val="0"/>
          <w:color w:val="auto"/>
          <w:sz w:val="24"/>
          <w:szCs w:val="24"/>
          <w:highlight w:val="none"/>
        </w:rPr>
      </w:pPr>
      <w:r>
        <w:rPr>
          <w:rStyle w:val="5"/>
          <w:rFonts w:hint="eastAsia" w:ascii="仿宋" w:hAnsi="仿宋" w:eastAsia="仿宋" w:cs="仿宋"/>
          <w:b w:val="0"/>
          <w:bCs w:val="0"/>
          <w:color w:val="auto"/>
          <w:sz w:val="24"/>
          <w:szCs w:val="24"/>
          <w:highlight w:val="none"/>
        </w:rPr>
        <w:t>4、进场时间：以</w:t>
      </w:r>
      <w:r>
        <w:rPr>
          <w:rStyle w:val="5"/>
          <w:rFonts w:hint="eastAsia" w:ascii="仿宋" w:hAnsi="仿宋" w:eastAsia="仿宋" w:cs="仿宋"/>
          <w:b w:val="0"/>
          <w:bCs w:val="0"/>
          <w:color w:val="auto"/>
          <w:sz w:val="24"/>
          <w:szCs w:val="24"/>
          <w:highlight w:val="none"/>
          <w:lang w:eastAsia="zh-CN"/>
        </w:rPr>
        <w:t>招标人</w:t>
      </w:r>
      <w:r>
        <w:rPr>
          <w:rStyle w:val="5"/>
          <w:rFonts w:hint="eastAsia" w:ascii="仿宋" w:hAnsi="仿宋" w:eastAsia="仿宋" w:cs="仿宋"/>
          <w:b w:val="0"/>
          <w:bCs w:val="0"/>
          <w:color w:val="auto"/>
          <w:sz w:val="24"/>
          <w:szCs w:val="24"/>
          <w:highlight w:val="none"/>
        </w:rPr>
        <w:t>书面通知为准。</w:t>
      </w:r>
    </w:p>
    <w:p w14:paraId="2F02C064">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三、</w:t>
      </w:r>
      <w:r>
        <w:rPr>
          <w:rFonts w:hint="eastAsia" w:ascii="仿宋" w:hAnsi="仿宋" w:eastAsia="仿宋" w:cs="仿宋"/>
          <w:b/>
          <w:bCs w:val="0"/>
          <w:color w:val="auto"/>
          <w:sz w:val="32"/>
          <w:szCs w:val="32"/>
          <w:highlight w:val="none"/>
          <w:lang w:val="en-US" w:eastAsia="zh-CN"/>
        </w:rPr>
        <w:t>考核及</w:t>
      </w:r>
      <w:r>
        <w:rPr>
          <w:rFonts w:hint="eastAsia" w:ascii="仿宋" w:hAnsi="仿宋" w:eastAsia="仿宋" w:cs="仿宋"/>
          <w:b/>
          <w:bCs w:val="0"/>
          <w:color w:val="auto"/>
          <w:sz w:val="32"/>
          <w:szCs w:val="32"/>
          <w:highlight w:val="none"/>
        </w:rPr>
        <w:t>付款方式</w:t>
      </w:r>
    </w:p>
    <w:p w14:paraId="269B6BF0">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1、招标人根据考核结果（考核办法详见附件），每季度对</w:t>
      </w:r>
      <w:r>
        <w:rPr>
          <w:rStyle w:val="5"/>
          <w:rFonts w:hint="eastAsia" w:ascii="仿宋" w:hAnsi="仿宋" w:eastAsia="仿宋" w:cs="仿宋"/>
          <w:b w:val="0"/>
          <w:bCs w:val="0"/>
          <w:color w:val="auto"/>
          <w:sz w:val="24"/>
          <w:szCs w:val="24"/>
          <w:highlight w:val="none"/>
        </w:rPr>
        <w:t>中标人</w:t>
      </w:r>
      <w:r>
        <w:rPr>
          <w:rStyle w:val="5"/>
          <w:rFonts w:hint="eastAsia" w:ascii="仿宋" w:hAnsi="仿宋" w:eastAsia="仿宋" w:cs="仿宋"/>
          <w:b w:val="0"/>
          <w:bCs w:val="0"/>
          <w:color w:val="auto"/>
          <w:sz w:val="24"/>
          <w:szCs w:val="24"/>
          <w:highlight w:val="none"/>
          <w:lang w:val="en-US" w:eastAsia="zh-CN"/>
        </w:rPr>
        <w:t>服务质量进行考核，考核得分在95分（含95分）以上视作合格，本季度服务费用按规定支付。考核低于95分，则按以下规定执行：</w:t>
      </w:r>
    </w:p>
    <w:p w14:paraId="0776CFC1">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（1）第一次低于95分，</w:t>
      </w:r>
      <w:r>
        <w:rPr>
          <w:rStyle w:val="5"/>
          <w:rFonts w:hint="eastAsia" w:ascii="仿宋" w:hAnsi="仿宋" w:eastAsia="仿宋" w:cs="仿宋"/>
          <w:b w:val="0"/>
          <w:bCs w:val="0"/>
          <w:color w:val="auto"/>
          <w:sz w:val="24"/>
          <w:szCs w:val="24"/>
          <w:highlight w:val="none"/>
        </w:rPr>
        <w:t>中标人</w:t>
      </w:r>
      <w:r>
        <w:rPr>
          <w:rStyle w:val="5"/>
          <w:rFonts w:hint="eastAsia" w:ascii="仿宋" w:hAnsi="仿宋" w:eastAsia="仿宋" w:cs="仿宋"/>
          <w:b w:val="0"/>
          <w:bCs w:val="0"/>
          <w:color w:val="auto"/>
          <w:sz w:val="24"/>
          <w:szCs w:val="24"/>
          <w:highlight w:val="none"/>
          <w:lang w:val="en-US" w:eastAsia="zh-CN"/>
        </w:rPr>
        <w:t>整改完成并经招标人验收合格后，招标人支付本季度服务费用；</w:t>
      </w:r>
    </w:p>
    <w:p w14:paraId="5EFEAFFE">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（2）第二次低于95分，每下降1分扣除当季度应付物业管理费的1%，以此类推。</w:t>
      </w:r>
      <w:r>
        <w:rPr>
          <w:rStyle w:val="5"/>
          <w:rFonts w:hint="eastAsia" w:ascii="仿宋" w:hAnsi="仿宋" w:eastAsia="仿宋" w:cs="仿宋"/>
          <w:b w:val="0"/>
          <w:bCs w:val="0"/>
          <w:color w:val="auto"/>
          <w:sz w:val="24"/>
          <w:szCs w:val="24"/>
          <w:highlight w:val="none"/>
        </w:rPr>
        <w:t>中标人</w:t>
      </w:r>
      <w:r>
        <w:rPr>
          <w:rStyle w:val="5"/>
          <w:rFonts w:hint="eastAsia" w:ascii="仿宋" w:hAnsi="仿宋" w:eastAsia="仿宋" w:cs="仿宋"/>
          <w:b w:val="0"/>
          <w:bCs w:val="0"/>
          <w:color w:val="auto"/>
          <w:sz w:val="24"/>
          <w:szCs w:val="24"/>
          <w:highlight w:val="none"/>
          <w:lang w:val="en-US" w:eastAsia="zh-CN"/>
        </w:rPr>
        <w:t>整改完成并经招标人验收合格后，招标人支付本季度服务费用；</w:t>
      </w:r>
    </w:p>
    <w:p w14:paraId="291E5E32">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（3）如连续两次考核得分低于85分，则招标人有权提前终止合同，</w:t>
      </w:r>
      <w:r>
        <w:rPr>
          <w:rStyle w:val="5"/>
          <w:rFonts w:hint="eastAsia" w:ascii="仿宋" w:hAnsi="仿宋" w:eastAsia="仿宋" w:cs="仿宋"/>
          <w:b w:val="0"/>
          <w:bCs w:val="0"/>
          <w:color w:val="auto"/>
          <w:sz w:val="24"/>
          <w:szCs w:val="24"/>
          <w:highlight w:val="none"/>
        </w:rPr>
        <w:t>中标人</w:t>
      </w:r>
      <w:r>
        <w:rPr>
          <w:rStyle w:val="5"/>
          <w:rFonts w:hint="eastAsia" w:ascii="仿宋" w:hAnsi="仿宋" w:eastAsia="仿宋" w:cs="仿宋"/>
          <w:b w:val="0"/>
          <w:bCs w:val="0"/>
          <w:color w:val="auto"/>
          <w:sz w:val="24"/>
          <w:szCs w:val="24"/>
          <w:highlight w:val="none"/>
          <w:lang w:val="en-US" w:eastAsia="zh-CN"/>
        </w:rPr>
        <w:t>需对由此造成的一切后果及招标人的直接损失承担全部责任。</w:t>
      </w:r>
    </w:p>
    <w:p w14:paraId="32023AB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（4）如年平均考核得分低于85分，则招标人有权不予续签合同。</w:t>
      </w:r>
    </w:p>
    <w:p w14:paraId="08D4453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2、服务费用每季度支付一次，每季度服务期满经考核合格后10个工作日内支付。</w:t>
      </w:r>
    </w:p>
    <w:p w14:paraId="6D3CC212">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3、每季度末，</w:t>
      </w:r>
      <w:r>
        <w:rPr>
          <w:rStyle w:val="5"/>
          <w:rFonts w:hint="eastAsia" w:ascii="仿宋" w:hAnsi="仿宋" w:eastAsia="仿宋" w:cs="仿宋"/>
          <w:b w:val="0"/>
          <w:bCs w:val="0"/>
          <w:color w:val="auto"/>
          <w:sz w:val="24"/>
          <w:szCs w:val="24"/>
          <w:highlight w:val="none"/>
        </w:rPr>
        <w:t>中标人</w:t>
      </w:r>
      <w:r>
        <w:rPr>
          <w:rStyle w:val="5"/>
          <w:rFonts w:hint="eastAsia" w:ascii="仿宋" w:hAnsi="仿宋" w:eastAsia="仿宋" w:cs="仿宋"/>
          <w:b w:val="0"/>
          <w:bCs w:val="0"/>
          <w:color w:val="auto"/>
          <w:sz w:val="24"/>
          <w:szCs w:val="24"/>
          <w:highlight w:val="none"/>
          <w:lang w:val="en-US" w:eastAsia="zh-CN"/>
        </w:rPr>
        <w:t>应与招标人确定季度服务费用，开具增值税发票且开具为本项目服务内容，凭票向招标人申请付款。</w:t>
      </w:r>
    </w:p>
    <w:p w14:paraId="62FCC084">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4、本项目费用由各村委按厂房面积所占比例等比例支付（新新村委9%、平岗村委22.5%、新中村委40%、谭墅村委15.2%、新岗村委13.3%）。如相关村委资产遇因城市规划、国家建设或集体规划改造需要被征收、拆迁或强制拆除的，则该村委自动退出，无需承担后续费用，剩余费用由其他村委按照实际面积重新协商。</w:t>
      </w:r>
    </w:p>
    <w:p w14:paraId="4E62D98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lang w:val="en-US" w:eastAsia="zh-CN"/>
        </w:rPr>
        <w:t>5、如租户承担物业费，则直接由物业催收并与租户开票结算。</w:t>
      </w:r>
    </w:p>
    <w:p w14:paraId="3A7014AF">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default"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四、服务要求</w:t>
      </w:r>
    </w:p>
    <w:p w14:paraId="3AFACE1B">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1、服务作业范围</w:t>
      </w:r>
    </w:p>
    <w:p w14:paraId="0E0428E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ascii="仿宋" w:hAnsi="仿宋" w:eastAsia="仿宋" w:cs="仿宋"/>
          <w:color w:val="auto"/>
          <w:spacing w:val="0"/>
          <w:w w:val="100"/>
          <w:kern w:val="0"/>
          <w:sz w:val="24"/>
          <w:szCs w:val="24"/>
          <w:highlight w:val="none"/>
          <w:lang w:val="en-US" w:eastAsia="zh-CN"/>
        </w:rPr>
      </w:pPr>
      <w:r>
        <w:rPr>
          <w:rFonts w:hint="eastAsia" w:ascii="仿宋" w:hAnsi="仿宋" w:eastAsia="仿宋" w:cs="仿宋"/>
          <w:color w:val="auto"/>
          <w:spacing w:val="0"/>
          <w:w w:val="100"/>
          <w:kern w:val="0"/>
          <w:sz w:val="24"/>
          <w:szCs w:val="24"/>
          <w:highlight w:val="none"/>
          <w:lang w:val="en-US" w:eastAsia="zh-CN"/>
        </w:rPr>
        <w:t>（1）物业性质：工业园区、厂房</w:t>
      </w:r>
    </w:p>
    <w:p w14:paraId="7C1A365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ascii="仿宋" w:hAnsi="仿宋" w:eastAsia="仿宋" w:cs="仿宋"/>
          <w:color w:val="auto"/>
          <w:spacing w:val="0"/>
          <w:w w:val="100"/>
          <w:kern w:val="0"/>
          <w:sz w:val="24"/>
          <w:szCs w:val="24"/>
          <w:highlight w:val="none"/>
          <w:lang w:val="en-US" w:eastAsia="zh-CN"/>
        </w:rPr>
      </w:pPr>
      <w:r>
        <w:rPr>
          <w:rFonts w:hint="eastAsia" w:ascii="仿宋" w:hAnsi="仿宋" w:eastAsia="仿宋" w:cs="仿宋"/>
          <w:color w:val="auto"/>
          <w:spacing w:val="0"/>
          <w:w w:val="100"/>
          <w:kern w:val="0"/>
          <w:sz w:val="24"/>
          <w:szCs w:val="24"/>
          <w:highlight w:val="none"/>
          <w:lang w:val="en-US" w:eastAsia="zh-CN"/>
        </w:rPr>
        <w:t>（2）建筑面积：规划建筑面积126000㎡，目前共建有9幢厂房，建筑面积62100㎡。道路面积：25000㎡，绿化面积：14800㎡。</w:t>
      </w:r>
    </w:p>
    <w:p w14:paraId="6A488D1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pacing w:val="0"/>
          <w:w w:val="100"/>
          <w:kern w:val="0"/>
          <w:sz w:val="24"/>
          <w:szCs w:val="24"/>
          <w:highlight w:val="none"/>
          <w:lang w:val="en-US" w:eastAsia="zh-CN"/>
        </w:rPr>
        <w:t>（3）出入口设置：园区设有一主出入口（朝南）。</w:t>
      </w:r>
    </w:p>
    <w:p w14:paraId="44D29E6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b/>
          <w:bCs/>
          <w:color w:val="auto"/>
          <w:spacing w:val="0"/>
          <w:w w:val="100"/>
          <w:kern w:val="0"/>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pacing w:val="0"/>
          <w:w w:val="100"/>
          <w:kern w:val="0"/>
          <w:sz w:val="24"/>
          <w:szCs w:val="24"/>
          <w:highlight w:val="none"/>
          <w:lang w:val="en-US" w:eastAsia="zh-CN"/>
        </w:rPr>
        <w:t>物业管理服务范围</w:t>
      </w:r>
    </w:p>
    <w:p w14:paraId="2615DC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（1）综合管理服务；</w:t>
      </w:r>
    </w:p>
    <w:p w14:paraId="49E874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（2）公共区域清洁卫生服务；</w:t>
      </w:r>
    </w:p>
    <w:p w14:paraId="4CD69A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（3）公共区域秩序维护服务；</w:t>
      </w:r>
    </w:p>
    <w:p w14:paraId="1FADD1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（4）共用部位、共用设备设施日常运行、维护服务；</w:t>
      </w:r>
    </w:p>
    <w:p w14:paraId="39E7C8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（5）公共区域绿化养护服务；</w:t>
      </w:r>
    </w:p>
    <w:p w14:paraId="7C3EF4EB">
      <w:pPr>
        <w:pStyle w:val="2"/>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val="0"/>
          <w:color w:val="auto"/>
          <w:spacing w:val="0"/>
          <w:w w:val="100"/>
          <w:kern w:val="0"/>
          <w:sz w:val="24"/>
          <w:szCs w:val="24"/>
          <w:highlight w:val="none"/>
          <w:lang w:val="en-US" w:eastAsia="zh-CN" w:bidi="ar-SA"/>
        </w:rPr>
      </w:pPr>
      <w:r>
        <w:rPr>
          <w:rFonts w:hint="eastAsia" w:ascii="仿宋" w:hAnsi="仿宋" w:eastAsia="仿宋" w:cs="仿宋"/>
          <w:b w:val="0"/>
          <w:bCs w:val="0"/>
          <w:color w:val="auto"/>
          <w:spacing w:val="0"/>
          <w:w w:val="100"/>
          <w:kern w:val="0"/>
          <w:sz w:val="24"/>
          <w:szCs w:val="24"/>
          <w:highlight w:val="none"/>
          <w:lang w:val="en-US" w:eastAsia="zh-CN" w:bidi="ar-SA"/>
        </w:rPr>
        <w:t>（6）配合统计水表用量，水表用量有出入时与招标人进行确认。</w:t>
      </w:r>
    </w:p>
    <w:p w14:paraId="5D22515A">
      <w:pPr>
        <w:pStyle w:val="2"/>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bCs/>
          <w:color w:val="auto"/>
          <w:spacing w:val="0"/>
          <w:w w:val="100"/>
          <w:kern w:val="0"/>
          <w:sz w:val="24"/>
          <w:szCs w:val="24"/>
          <w:highlight w:val="none"/>
          <w:lang w:val="en-US" w:eastAsia="zh-CN"/>
        </w:rPr>
      </w:pPr>
      <w:r>
        <w:rPr>
          <w:rFonts w:hint="eastAsia" w:ascii="仿宋" w:hAnsi="仿宋" w:eastAsia="仿宋" w:cs="仿宋"/>
          <w:b/>
          <w:bCs/>
          <w:color w:val="auto"/>
          <w:spacing w:val="0"/>
          <w:w w:val="100"/>
          <w:kern w:val="0"/>
          <w:sz w:val="24"/>
          <w:szCs w:val="24"/>
          <w:highlight w:val="none"/>
          <w:lang w:val="en-US" w:eastAsia="zh-CN"/>
        </w:rPr>
        <w:t>3、物业管理具体服务内容与标准</w:t>
      </w:r>
    </w:p>
    <w:p w14:paraId="0B3B754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241" w:firstLineChars="1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综合管理服务内容与标准</w:t>
      </w:r>
    </w:p>
    <w:tbl>
      <w:tblPr>
        <w:tblStyle w:val="3"/>
        <w:tblW w:w="517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6"/>
        <w:gridCol w:w="641"/>
        <w:gridCol w:w="1341"/>
        <w:gridCol w:w="6091"/>
      </w:tblGrid>
      <w:tr w14:paraId="6073F0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391" w:type="pct"/>
            <w:noWrap w:val="0"/>
            <w:tcMar>
              <w:left w:w="57" w:type="dxa"/>
              <w:right w:w="57" w:type="dxa"/>
            </w:tcMar>
            <w:vAlign w:val="center"/>
          </w:tcPr>
          <w:p w14:paraId="3B00498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类别</w:t>
            </w:r>
          </w:p>
        </w:tc>
        <w:tc>
          <w:tcPr>
            <w:tcW w:w="365" w:type="pct"/>
            <w:noWrap w:val="0"/>
            <w:tcMar>
              <w:left w:w="57" w:type="dxa"/>
              <w:right w:w="57" w:type="dxa"/>
            </w:tcMar>
            <w:vAlign w:val="center"/>
          </w:tcPr>
          <w:p w14:paraId="21617F1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序号</w:t>
            </w:r>
          </w:p>
        </w:tc>
        <w:tc>
          <w:tcPr>
            <w:tcW w:w="765" w:type="pct"/>
            <w:noWrap w:val="0"/>
            <w:tcMar>
              <w:left w:w="57" w:type="dxa"/>
              <w:right w:w="57" w:type="dxa"/>
            </w:tcMar>
            <w:vAlign w:val="center"/>
          </w:tcPr>
          <w:p w14:paraId="6FD1020D">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内 容</w:t>
            </w:r>
          </w:p>
        </w:tc>
        <w:tc>
          <w:tcPr>
            <w:tcW w:w="3477" w:type="pct"/>
            <w:noWrap w:val="0"/>
            <w:vAlign w:val="center"/>
          </w:tcPr>
          <w:p w14:paraId="7ED6046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服务标准</w:t>
            </w:r>
          </w:p>
        </w:tc>
      </w:tr>
      <w:tr w14:paraId="4AA58B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391" w:type="pct"/>
            <w:vMerge w:val="restart"/>
            <w:noWrap w:val="0"/>
            <w:tcMar>
              <w:left w:w="57" w:type="dxa"/>
              <w:right w:w="57" w:type="dxa"/>
            </w:tcMar>
            <w:vAlign w:val="center"/>
          </w:tcPr>
          <w:p w14:paraId="37A50D3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客</w:t>
            </w:r>
          </w:p>
          <w:p w14:paraId="28062C7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户</w:t>
            </w:r>
          </w:p>
          <w:p w14:paraId="3E7838C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w:t>
            </w:r>
          </w:p>
          <w:p w14:paraId="320711C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务</w:t>
            </w:r>
          </w:p>
          <w:p w14:paraId="62362A5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部</w:t>
            </w:r>
          </w:p>
        </w:tc>
        <w:tc>
          <w:tcPr>
            <w:tcW w:w="365" w:type="pct"/>
            <w:noWrap w:val="0"/>
            <w:tcMar>
              <w:left w:w="57" w:type="dxa"/>
              <w:right w:w="57" w:type="dxa"/>
            </w:tcMar>
            <w:vAlign w:val="center"/>
          </w:tcPr>
          <w:p w14:paraId="6F6D889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65" w:type="pct"/>
            <w:noWrap w:val="0"/>
            <w:tcMar>
              <w:left w:w="57" w:type="dxa"/>
              <w:right w:w="57" w:type="dxa"/>
            </w:tcMar>
            <w:vAlign w:val="center"/>
          </w:tcPr>
          <w:p w14:paraId="14AC3AF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客服中心设置</w:t>
            </w:r>
          </w:p>
        </w:tc>
        <w:tc>
          <w:tcPr>
            <w:tcW w:w="3477" w:type="pct"/>
            <w:noWrap w:val="0"/>
            <w:vAlign w:val="center"/>
          </w:tcPr>
          <w:p w14:paraId="538C2D1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园区设有客户服务中心，办公设施设备齐全，办公场所整洁有序。</w:t>
            </w:r>
          </w:p>
        </w:tc>
      </w:tr>
      <w:tr w14:paraId="3BBA73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391" w:type="pct"/>
            <w:vMerge w:val="continue"/>
            <w:noWrap w:val="0"/>
            <w:tcMar>
              <w:left w:w="57" w:type="dxa"/>
              <w:right w:w="57" w:type="dxa"/>
            </w:tcMar>
            <w:vAlign w:val="center"/>
          </w:tcPr>
          <w:p w14:paraId="00A9A30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p>
        </w:tc>
        <w:tc>
          <w:tcPr>
            <w:tcW w:w="365" w:type="pct"/>
            <w:noWrap w:val="0"/>
            <w:tcMar>
              <w:left w:w="57" w:type="dxa"/>
              <w:right w:w="57" w:type="dxa"/>
            </w:tcMar>
            <w:vAlign w:val="center"/>
          </w:tcPr>
          <w:p w14:paraId="1AF9E2E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765" w:type="pct"/>
            <w:noWrap w:val="0"/>
            <w:tcMar>
              <w:left w:w="57" w:type="dxa"/>
              <w:right w:w="57" w:type="dxa"/>
            </w:tcMar>
            <w:vAlign w:val="center"/>
          </w:tcPr>
          <w:p w14:paraId="1E044AB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服务人员要求</w:t>
            </w:r>
          </w:p>
        </w:tc>
        <w:tc>
          <w:tcPr>
            <w:tcW w:w="3477" w:type="pct"/>
            <w:noWrap w:val="0"/>
            <w:vAlign w:val="center"/>
          </w:tcPr>
          <w:p w14:paraId="312560C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（1）服务人员持有国家规定岗位证书。</w:t>
            </w:r>
          </w:p>
          <w:p w14:paraId="58C4683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（2）管理人员服装统一，佩戴工牌，仪表整洁规范，服务主动、热情。</w:t>
            </w:r>
          </w:p>
        </w:tc>
      </w:tr>
      <w:tr w14:paraId="63551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391" w:type="pct"/>
            <w:vMerge w:val="continue"/>
            <w:noWrap w:val="0"/>
            <w:tcMar>
              <w:left w:w="57" w:type="dxa"/>
              <w:right w:w="57" w:type="dxa"/>
            </w:tcMar>
            <w:vAlign w:val="center"/>
          </w:tcPr>
          <w:p w14:paraId="2F15628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p>
        </w:tc>
        <w:tc>
          <w:tcPr>
            <w:tcW w:w="365" w:type="pct"/>
            <w:noWrap w:val="0"/>
            <w:tcMar>
              <w:left w:w="57" w:type="dxa"/>
              <w:right w:w="57" w:type="dxa"/>
            </w:tcMar>
            <w:vAlign w:val="center"/>
          </w:tcPr>
          <w:p w14:paraId="7EB964F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765" w:type="pct"/>
            <w:noWrap w:val="0"/>
            <w:tcMar>
              <w:left w:w="57" w:type="dxa"/>
              <w:right w:w="57" w:type="dxa"/>
            </w:tcMar>
            <w:vAlign w:val="center"/>
          </w:tcPr>
          <w:p w14:paraId="70ED084A">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日常服务内容</w:t>
            </w:r>
          </w:p>
        </w:tc>
        <w:tc>
          <w:tcPr>
            <w:tcW w:w="3477" w:type="pct"/>
            <w:noWrap w:val="0"/>
            <w:vAlign w:val="top"/>
          </w:tcPr>
          <w:p w14:paraId="3F2B7AE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（1）做好业主的来电来访咨询、报修以及投诉的接待工作，并跟进落实和处理。</w:t>
            </w:r>
          </w:p>
          <w:p w14:paraId="3F541A5A">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（2）熟悉园区共用部位设备设施以及保安、保洁等各方面的工作，协调各部门共同完成园区各项物业服务工作。</w:t>
            </w:r>
          </w:p>
          <w:p w14:paraId="75A291CA">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（3）熟悉园区各项情况，制定物业服务工作计划，并监督各工作完成情况。</w:t>
            </w:r>
          </w:p>
          <w:p w14:paraId="3E9FCE3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（4）做好园区物业服务档案管理，建立齐全的园区物业服务工作档案。</w:t>
            </w:r>
          </w:p>
          <w:p w14:paraId="4F960C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（5）园区各项资料、档案，共用部位钥匙的存放的管理。</w:t>
            </w:r>
          </w:p>
          <w:p w14:paraId="722B2E3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（6）协助业主协调沟通，对于园区各项公共事务处理意见达成一致。</w:t>
            </w:r>
          </w:p>
          <w:p w14:paraId="401463F5">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（7）日常巡视园区，对违反园区公共秩序或政府有关规定的行为进行劝阻、制止或报有关部门处理。</w:t>
            </w:r>
          </w:p>
          <w:p w14:paraId="18798DC4">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（8）与相关职能部门（如供热公司、电业局、街道办等）的关系协调配合工作。</w:t>
            </w:r>
          </w:p>
          <w:p w14:paraId="1A37E79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（9）起草相关文件（如各种温馨提示、收费通知等），针对园区公共事务与业主积极沟通。</w:t>
            </w:r>
          </w:p>
        </w:tc>
      </w:tr>
    </w:tbl>
    <w:p w14:paraId="2C7DBB8D">
      <w:pPr>
        <w:keepNext w:val="0"/>
        <w:keepLines w:val="0"/>
        <w:pageBreakBefore w:val="0"/>
        <w:widowControl w:val="0"/>
        <w:kinsoku/>
        <w:wordWrap/>
        <w:overflowPunct/>
        <w:topLinePunct w:val="0"/>
        <w:autoSpaceDE/>
        <w:autoSpaceDN/>
        <w:bidi w:val="0"/>
        <w:adjustRightInd/>
        <w:snapToGrid/>
        <w:spacing w:line="360" w:lineRule="auto"/>
        <w:ind w:left="0" w:firstLine="241" w:firstLineChars="1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公共区域清洁卫生服务内容及标准</w:t>
      </w:r>
    </w:p>
    <w:tbl>
      <w:tblPr>
        <w:tblStyle w:val="3"/>
        <w:tblW w:w="51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72"/>
        <w:gridCol w:w="616"/>
        <w:gridCol w:w="1075"/>
        <w:gridCol w:w="6387"/>
      </w:tblGrid>
      <w:tr w14:paraId="5B080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408" w:type="pct"/>
            <w:tcBorders>
              <w:bottom w:val="single" w:color="auto" w:sz="4" w:space="0"/>
            </w:tcBorders>
            <w:noWrap w:val="0"/>
            <w:tcMar>
              <w:left w:w="57" w:type="dxa"/>
              <w:right w:w="57" w:type="dxa"/>
            </w:tcMar>
            <w:vAlign w:val="center"/>
          </w:tcPr>
          <w:p w14:paraId="02FC998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类别</w:t>
            </w:r>
          </w:p>
        </w:tc>
        <w:tc>
          <w:tcPr>
            <w:tcW w:w="376" w:type="pct"/>
            <w:tcBorders>
              <w:bottom w:val="single" w:color="auto" w:sz="4" w:space="0"/>
            </w:tcBorders>
            <w:noWrap w:val="0"/>
            <w:tcMar>
              <w:left w:w="57" w:type="dxa"/>
              <w:right w:w="57" w:type="dxa"/>
            </w:tcMar>
            <w:vAlign w:val="center"/>
          </w:tcPr>
          <w:p w14:paraId="7F4015D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序号</w:t>
            </w:r>
          </w:p>
        </w:tc>
        <w:tc>
          <w:tcPr>
            <w:tcW w:w="542" w:type="pct"/>
            <w:tcBorders>
              <w:bottom w:val="single" w:color="auto" w:sz="4" w:space="0"/>
            </w:tcBorders>
            <w:noWrap w:val="0"/>
            <w:tcMar>
              <w:left w:w="57" w:type="dxa"/>
              <w:right w:w="57" w:type="dxa"/>
            </w:tcMar>
            <w:vAlign w:val="center"/>
          </w:tcPr>
          <w:p w14:paraId="3992BE1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内容</w:t>
            </w:r>
          </w:p>
        </w:tc>
        <w:tc>
          <w:tcPr>
            <w:tcW w:w="3671" w:type="pct"/>
            <w:tcBorders>
              <w:bottom w:val="single" w:color="auto" w:sz="4" w:space="0"/>
            </w:tcBorders>
            <w:noWrap w:val="0"/>
            <w:tcMar>
              <w:left w:w="57" w:type="dxa"/>
              <w:right w:w="57" w:type="dxa"/>
            </w:tcMar>
            <w:vAlign w:val="center"/>
          </w:tcPr>
          <w:p w14:paraId="3928C4B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服务标准</w:t>
            </w:r>
          </w:p>
        </w:tc>
      </w:tr>
      <w:tr w14:paraId="51708F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08" w:type="pct"/>
            <w:vMerge w:val="restart"/>
            <w:noWrap w:val="0"/>
            <w:tcMar>
              <w:left w:w="57" w:type="dxa"/>
              <w:right w:w="57" w:type="dxa"/>
            </w:tcMar>
            <w:vAlign w:val="center"/>
          </w:tcPr>
          <w:p w14:paraId="3704EF0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公</w:t>
            </w:r>
          </w:p>
          <w:p w14:paraId="3A4A956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共</w:t>
            </w:r>
          </w:p>
          <w:p w14:paraId="355262B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区</w:t>
            </w:r>
          </w:p>
          <w:p w14:paraId="40DAE6F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域</w:t>
            </w:r>
          </w:p>
          <w:p w14:paraId="3039AD9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清</w:t>
            </w:r>
          </w:p>
          <w:p w14:paraId="767EBC0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洁</w:t>
            </w:r>
          </w:p>
          <w:p w14:paraId="3897237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卫</w:t>
            </w:r>
          </w:p>
          <w:p w14:paraId="0D2D582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生</w:t>
            </w:r>
          </w:p>
        </w:tc>
        <w:tc>
          <w:tcPr>
            <w:tcW w:w="376" w:type="pct"/>
            <w:noWrap w:val="0"/>
            <w:tcMar>
              <w:left w:w="57" w:type="dxa"/>
              <w:right w:w="57" w:type="dxa"/>
            </w:tcMar>
            <w:vAlign w:val="center"/>
          </w:tcPr>
          <w:p w14:paraId="1BFB668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w:t>
            </w:r>
          </w:p>
        </w:tc>
        <w:tc>
          <w:tcPr>
            <w:tcW w:w="542" w:type="pct"/>
            <w:noWrap w:val="0"/>
            <w:tcMar>
              <w:left w:w="57" w:type="dxa"/>
              <w:right w:w="57" w:type="dxa"/>
            </w:tcMar>
            <w:vAlign w:val="center"/>
          </w:tcPr>
          <w:p w14:paraId="7D5CDF5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垃圾收集</w:t>
            </w:r>
          </w:p>
        </w:tc>
        <w:tc>
          <w:tcPr>
            <w:tcW w:w="3671" w:type="pct"/>
            <w:noWrap w:val="0"/>
            <w:tcMar>
              <w:left w:w="57" w:type="dxa"/>
              <w:right w:w="57" w:type="dxa"/>
            </w:tcMar>
            <w:vAlign w:val="center"/>
          </w:tcPr>
          <w:p w14:paraId="266EF5C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小型垃圾桶垃圾每天清理，联系协调环卫部门及时清运生活垃圾；</w:t>
            </w:r>
          </w:p>
        </w:tc>
      </w:tr>
      <w:tr w14:paraId="04BF31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08" w:type="pct"/>
            <w:vMerge w:val="continue"/>
            <w:noWrap w:val="0"/>
            <w:tcMar>
              <w:left w:w="57" w:type="dxa"/>
              <w:right w:w="57" w:type="dxa"/>
            </w:tcMar>
            <w:vAlign w:val="center"/>
          </w:tcPr>
          <w:p w14:paraId="5175C23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76" w:type="pct"/>
            <w:noWrap w:val="0"/>
            <w:tcMar>
              <w:left w:w="57" w:type="dxa"/>
              <w:right w:w="57" w:type="dxa"/>
            </w:tcMar>
            <w:vAlign w:val="center"/>
          </w:tcPr>
          <w:p w14:paraId="7D1AA50A">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w:t>
            </w:r>
          </w:p>
        </w:tc>
        <w:tc>
          <w:tcPr>
            <w:tcW w:w="542" w:type="pct"/>
            <w:noWrap w:val="0"/>
            <w:tcMar>
              <w:left w:w="57" w:type="dxa"/>
              <w:right w:w="57" w:type="dxa"/>
            </w:tcMar>
            <w:vAlign w:val="center"/>
          </w:tcPr>
          <w:p w14:paraId="0FF5E86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垃圾箱及周边</w:t>
            </w:r>
          </w:p>
        </w:tc>
        <w:tc>
          <w:tcPr>
            <w:tcW w:w="3671" w:type="pct"/>
            <w:noWrap w:val="0"/>
            <w:tcMar>
              <w:left w:w="57" w:type="dxa"/>
              <w:right w:w="57" w:type="dxa"/>
            </w:tcMar>
            <w:vAlign w:val="center"/>
          </w:tcPr>
          <w:p w14:paraId="63B8A7D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小型垃圾桶定期冲洗，垃圾收集点周边及时清扫；</w:t>
            </w:r>
          </w:p>
        </w:tc>
      </w:tr>
      <w:tr w14:paraId="119356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08" w:type="pct"/>
            <w:vMerge w:val="continue"/>
            <w:noWrap w:val="0"/>
            <w:tcMar>
              <w:left w:w="57" w:type="dxa"/>
              <w:right w:w="57" w:type="dxa"/>
            </w:tcMar>
            <w:vAlign w:val="center"/>
          </w:tcPr>
          <w:p w14:paraId="2B55FCC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76" w:type="pct"/>
            <w:noWrap w:val="0"/>
            <w:tcMar>
              <w:left w:w="57" w:type="dxa"/>
              <w:right w:w="57" w:type="dxa"/>
            </w:tcMar>
            <w:vAlign w:val="center"/>
          </w:tcPr>
          <w:p w14:paraId="12563B0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w:t>
            </w:r>
          </w:p>
        </w:tc>
        <w:tc>
          <w:tcPr>
            <w:tcW w:w="542" w:type="pct"/>
            <w:noWrap w:val="0"/>
            <w:tcMar>
              <w:left w:w="57" w:type="dxa"/>
              <w:right w:w="57" w:type="dxa"/>
            </w:tcMar>
            <w:vAlign w:val="center"/>
          </w:tcPr>
          <w:p w14:paraId="251559A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宣传栏类</w:t>
            </w:r>
          </w:p>
        </w:tc>
        <w:tc>
          <w:tcPr>
            <w:tcW w:w="3671" w:type="pct"/>
            <w:noWrap w:val="0"/>
            <w:tcMar>
              <w:left w:w="57" w:type="dxa"/>
              <w:right w:w="57" w:type="dxa"/>
            </w:tcMar>
            <w:vAlign w:val="center"/>
          </w:tcPr>
          <w:p w14:paraId="65518D6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定期清洁，保持干净无明显灰尘；</w:t>
            </w:r>
          </w:p>
        </w:tc>
      </w:tr>
      <w:tr w14:paraId="4C839A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84" w:hRule="atLeast"/>
          <w:jc w:val="center"/>
        </w:trPr>
        <w:tc>
          <w:tcPr>
            <w:tcW w:w="408" w:type="pct"/>
            <w:vMerge w:val="continue"/>
            <w:noWrap w:val="0"/>
            <w:tcMar>
              <w:left w:w="57" w:type="dxa"/>
              <w:right w:w="57" w:type="dxa"/>
            </w:tcMar>
            <w:vAlign w:val="center"/>
          </w:tcPr>
          <w:p w14:paraId="68294BE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76" w:type="pct"/>
            <w:noWrap w:val="0"/>
            <w:tcMar>
              <w:left w:w="57" w:type="dxa"/>
              <w:right w:w="57" w:type="dxa"/>
            </w:tcMar>
            <w:vAlign w:val="center"/>
          </w:tcPr>
          <w:p w14:paraId="43DD886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w:t>
            </w:r>
          </w:p>
        </w:tc>
        <w:tc>
          <w:tcPr>
            <w:tcW w:w="542" w:type="pct"/>
            <w:noWrap w:val="0"/>
            <w:tcMar>
              <w:left w:w="57" w:type="dxa"/>
              <w:right w:w="57" w:type="dxa"/>
            </w:tcMar>
            <w:vAlign w:val="center"/>
          </w:tcPr>
          <w:p w14:paraId="7323BA1A">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t>道路地面、绿</w:t>
            </w:r>
            <w:r>
              <w:rPr>
                <w:rFonts w:hint="eastAsia" w:ascii="仿宋" w:hAnsi="仿宋" w:eastAsia="仿宋" w:cs="仿宋"/>
                <w:b w:val="0"/>
                <w:bCs/>
                <w:color w:val="auto"/>
                <w:sz w:val="24"/>
                <w:szCs w:val="24"/>
                <w:highlight w:val="none"/>
                <w:lang w:val="en-US" w:eastAsia="zh-CN"/>
              </w:rPr>
              <w:t>化</w:t>
            </w:r>
          </w:p>
        </w:tc>
        <w:tc>
          <w:tcPr>
            <w:tcW w:w="3671" w:type="pct"/>
            <w:noWrap w:val="0"/>
            <w:tcMar>
              <w:left w:w="57" w:type="dxa"/>
              <w:right w:w="57" w:type="dxa"/>
            </w:tcMar>
            <w:vAlign w:val="center"/>
          </w:tcPr>
          <w:p w14:paraId="563C92A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1</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道路地面、绿地垃圾树叶及时清扫，并巡回保洁，做到无明显暴露垃圾。</w:t>
            </w:r>
          </w:p>
          <w:p w14:paraId="2CBEF117">
            <w:pPr>
              <w:pStyle w:val="2"/>
              <w:ind w:left="0" w:leftChars="0" w:firstLine="0" w:firstLineChars="0"/>
              <w:jc w:val="left"/>
              <w:rPr>
                <w:rFonts w:hint="eastAsia" w:eastAsia="仿宋"/>
                <w:color w:val="auto"/>
                <w:highlight w:val="none"/>
                <w:lang w:eastAsia="zh-CN"/>
              </w:rPr>
            </w:pPr>
            <w:r>
              <w:rPr>
                <w:rFonts w:hint="eastAsia" w:ascii="仿宋" w:hAnsi="仿宋" w:eastAsia="仿宋" w:cs="仿宋"/>
                <w:snapToGrid w:val="0"/>
                <w:color w:val="auto"/>
                <w:kern w:val="0"/>
                <w:sz w:val="24"/>
                <w:szCs w:val="24"/>
                <w:highlight w:val="none"/>
                <w:lang w:val="en-US" w:eastAsia="zh-CN" w:bidi="ar-SA"/>
              </w:rPr>
              <w:t>（2）</w:t>
            </w:r>
            <w:r>
              <w:rPr>
                <w:rFonts w:hint="eastAsia" w:ascii="仿宋" w:hAnsi="仿宋" w:eastAsia="仿宋" w:cs="仿宋"/>
                <w:b w:val="0"/>
                <w:bCs w:val="0"/>
                <w:color w:val="auto"/>
                <w:sz w:val="24"/>
                <w:szCs w:val="24"/>
                <w:highlight w:val="none"/>
                <w:shd w:val="clear" w:color="auto" w:fill="FFFFFF"/>
                <w:lang w:val="en-US" w:eastAsia="zh-CN"/>
              </w:rPr>
              <w:t>绿化</w:t>
            </w:r>
            <w:r>
              <w:rPr>
                <w:rFonts w:hint="eastAsia" w:ascii="仿宋" w:hAnsi="仿宋" w:eastAsia="仿宋" w:cs="仿宋"/>
                <w:b w:val="0"/>
                <w:bCs w:val="0"/>
                <w:color w:val="auto"/>
                <w:sz w:val="24"/>
                <w:szCs w:val="24"/>
                <w:highlight w:val="none"/>
                <w:shd w:val="clear" w:color="auto" w:fill="FFFFFF"/>
                <w:lang w:eastAsia="zh-CN"/>
              </w:rPr>
              <w:t>：</w:t>
            </w:r>
            <w:r>
              <w:rPr>
                <w:rFonts w:hint="eastAsia" w:ascii="仿宋" w:hAnsi="仿宋" w:eastAsia="仿宋" w:cs="仿宋"/>
                <w:b w:val="0"/>
                <w:bCs w:val="0"/>
                <w:color w:val="auto"/>
                <w:sz w:val="24"/>
                <w:szCs w:val="24"/>
                <w:highlight w:val="none"/>
                <w:shd w:val="clear" w:color="auto" w:fill="FFFFFF"/>
                <w:lang w:val="en-US" w:eastAsia="zh-CN"/>
              </w:rPr>
              <w:t>按植物及季节特性进行</w:t>
            </w:r>
            <w:r>
              <w:rPr>
                <w:rFonts w:hint="eastAsia" w:ascii="仿宋" w:hAnsi="仿宋" w:eastAsia="仿宋" w:cs="仿宋"/>
                <w:b w:val="0"/>
                <w:bCs w:val="0"/>
                <w:color w:val="auto"/>
                <w:sz w:val="24"/>
                <w:szCs w:val="24"/>
                <w:highlight w:val="none"/>
                <w:shd w:val="clear" w:color="auto" w:fill="FFFFFF"/>
              </w:rPr>
              <w:t>整形修剪</w:t>
            </w:r>
            <w:r>
              <w:rPr>
                <w:rFonts w:hint="eastAsia" w:ascii="仿宋" w:hAnsi="仿宋" w:eastAsia="仿宋" w:cs="仿宋"/>
                <w:b w:val="0"/>
                <w:bCs w:val="0"/>
                <w:color w:val="auto"/>
                <w:sz w:val="24"/>
                <w:szCs w:val="24"/>
                <w:highlight w:val="none"/>
                <w:shd w:val="clear" w:color="auto" w:fill="FFFFFF"/>
                <w:lang w:eastAsia="zh-CN"/>
              </w:rPr>
              <w:t>、</w:t>
            </w:r>
            <w:r>
              <w:rPr>
                <w:rFonts w:hint="eastAsia" w:ascii="仿宋" w:hAnsi="仿宋" w:eastAsia="仿宋" w:cs="仿宋"/>
                <w:b w:val="0"/>
                <w:bCs w:val="0"/>
                <w:color w:val="auto"/>
                <w:sz w:val="24"/>
                <w:szCs w:val="24"/>
                <w:highlight w:val="none"/>
                <w:shd w:val="clear" w:color="auto" w:fill="FFFFFF"/>
              </w:rPr>
              <w:t>人工清除杂草</w:t>
            </w:r>
            <w:r>
              <w:rPr>
                <w:rFonts w:hint="eastAsia" w:ascii="仿宋" w:hAnsi="仿宋" w:eastAsia="仿宋" w:cs="仿宋"/>
                <w:b w:val="0"/>
                <w:bCs w:val="0"/>
                <w:color w:val="auto"/>
                <w:sz w:val="24"/>
                <w:szCs w:val="24"/>
                <w:highlight w:val="none"/>
                <w:shd w:val="clear" w:color="auto" w:fill="FFFFFF"/>
                <w:lang w:eastAsia="zh-CN"/>
              </w:rPr>
              <w:t>、</w:t>
            </w:r>
            <w:r>
              <w:rPr>
                <w:rFonts w:hint="eastAsia" w:ascii="仿宋" w:hAnsi="仿宋" w:eastAsia="仿宋" w:cs="仿宋"/>
                <w:b w:val="0"/>
                <w:bCs w:val="0"/>
                <w:color w:val="auto"/>
                <w:sz w:val="24"/>
                <w:szCs w:val="24"/>
                <w:highlight w:val="none"/>
                <w:shd w:val="clear" w:color="auto" w:fill="FFFFFF"/>
              </w:rPr>
              <w:t>病虫害防治</w:t>
            </w:r>
            <w:r>
              <w:rPr>
                <w:rFonts w:hint="eastAsia" w:ascii="仿宋" w:hAnsi="仿宋" w:eastAsia="仿宋" w:cs="仿宋"/>
                <w:b w:val="0"/>
                <w:bCs w:val="0"/>
                <w:color w:val="auto"/>
                <w:sz w:val="24"/>
                <w:szCs w:val="24"/>
                <w:highlight w:val="none"/>
                <w:shd w:val="clear" w:color="auto" w:fill="FFFFFF"/>
                <w:lang w:val="en-US" w:eastAsia="zh-CN"/>
              </w:rPr>
              <w:t>等养护工作</w:t>
            </w:r>
            <w:r>
              <w:rPr>
                <w:rFonts w:hint="eastAsia" w:ascii="仿宋" w:hAnsi="仿宋" w:eastAsia="仿宋" w:cs="仿宋"/>
                <w:b w:val="0"/>
                <w:bCs w:val="0"/>
                <w:color w:val="auto"/>
                <w:sz w:val="24"/>
                <w:szCs w:val="24"/>
                <w:highlight w:val="none"/>
                <w:shd w:val="clear" w:color="auto" w:fill="FFFFFF"/>
                <w:lang w:eastAsia="zh-CN"/>
              </w:rPr>
              <w:t>，</w:t>
            </w:r>
            <w:r>
              <w:rPr>
                <w:rFonts w:hint="eastAsia" w:ascii="仿宋" w:hAnsi="仿宋" w:eastAsia="仿宋" w:cs="仿宋"/>
                <w:b w:val="0"/>
                <w:bCs/>
                <w:color w:val="auto"/>
                <w:sz w:val="24"/>
                <w:szCs w:val="24"/>
                <w:highlight w:val="none"/>
              </w:rPr>
              <w:t>保持总体整齐美观。</w:t>
            </w:r>
          </w:p>
        </w:tc>
      </w:tr>
      <w:tr w14:paraId="588226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84" w:hRule="atLeast"/>
          <w:jc w:val="center"/>
        </w:trPr>
        <w:tc>
          <w:tcPr>
            <w:tcW w:w="408" w:type="pct"/>
            <w:vMerge w:val="continue"/>
            <w:noWrap w:val="0"/>
            <w:tcMar>
              <w:left w:w="57" w:type="dxa"/>
              <w:right w:w="57" w:type="dxa"/>
            </w:tcMar>
            <w:vAlign w:val="center"/>
          </w:tcPr>
          <w:p w14:paraId="4236639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76" w:type="pct"/>
            <w:noWrap w:val="0"/>
            <w:tcMar>
              <w:left w:w="57" w:type="dxa"/>
              <w:right w:w="57" w:type="dxa"/>
            </w:tcMar>
            <w:vAlign w:val="center"/>
          </w:tcPr>
          <w:p w14:paraId="199D3EE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542" w:type="pct"/>
            <w:noWrap w:val="0"/>
            <w:tcMar>
              <w:left w:w="57" w:type="dxa"/>
              <w:right w:w="57" w:type="dxa"/>
            </w:tcMar>
            <w:vAlign w:val="center"/>
          </w:tcPr>
          <w:p w14:paraId="6D2C019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snapToGrid w:val="0"/>
                <w:color w:val="auto"/>
                <w:kern w:val="0"/>
                <w:sz w:val="24"/>
                <w:szCs w:val="24"/>
                <w:highlight w:val="none"/>
                <w:lang w:val="en-US" w:eastAsia="zh-CN"/>
              </w:rPr>
              <w:t>雨、污水管（井）、下水道</w:t>
            </w:r>
          </w:p>
        </w:tc>
        <w:tc>
          <w:tcPr>
            <w:tcW w:w="3671" w:type="pct"/>
            <w:noWrap w:val="0"/>
            <w:tcMar>
              <w:left w:w="57" w:type="dxa"/>
              <w:right w:w="57" w:type="dxa"/>
            </w:tcMar>
            <w:vAlign w:val="center"/>
          </w:tcPr>
          <w:p w14:paraId="0D1DF57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snapToGrid w:val="0"/>
                <w:color w:val="auto"/>
                <w:kern w:val="0"/>
                <w:sz w:val="24"/>
                <w:szCs w:val="24"/>
                <w:highlight w:val="none"/>
                <w:lang w:val="en-US" w:eastAsia="zh-CN"/>
              </w:rPr>
              <w:t>定期巡检，预判堵塞风险，提前安排预防性疏通。实施完成后现场清洁、井盖复原。</w:t>
            </w:r>
          </w:p>
        </w:tc>
      </w:tr>
    </w:tbl>
    <w:p w14:paraId="391DC812">
      <w:pPr>
        <w:keepNext w:val="0"/>
        <w:keepLines w:val="0"/>
        <w:pageBreakBefore w:val="0"/>
        <w:widowControl w:val="0"/>
        <w:kinsoku/>
        <w:wordWrap/>
        <w:overflowPunct/>
        <w:topLinePunct w:val="0"/>
        <w:autoSpaceDE/>
        <w:autoSpaceDN/>
        <w:bidi w:val="0"/>
        <w:adjustRightInd/>
        <w:snapToGrid/>
        <w:spacing w:line="360" w:lineRule="auto"/>
        <w:ind w:left="0" w:firstLine="241" w:firstLineChars="1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）公共区域秩序维护服务内容及标准</w:t>
      </w:r>
    </w:p>
    <w:tbl>
      <w:tblPr>
        <w:tblStyle w:val="3"/>
        <w:tblW w:w="52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4"/>
        <w:gridCol w:w="658"/>
        <w:gridCol w:w="931"/>
        <w:gridCol w:w="6572"/>
      </w:tblGrid>
      <w:tr w14:paraId="1F6348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3" w:hRule="atLeast"/>
          <w:jc w:val="center"/>
        </w:trPr>
        <w:tc>
          <w:tcPr>
            <w:tcW w:w="423" w:type="pct"/>
            <w:tcBorders>
              <w:top w:val="single" w:color="auto" w:sz="4" w:space="0"/>
              <w:left w:val="single" w:color="auto" w:sz="4" w:space="0"/>
              <w:bottom w:val="single" w:color="auto" w:sz="4" w:space="0"/>
            </w:tcBorders>
            <w:noWrap w:val="0"/>
            <w:tcMar>
              <w:left w:w="57" w:type="dxa"/>
              <w:right w:w="57" w:type="dxa"/>
            </w:tcMar>
            <w:vAlign w:val="center"/>
          </w:tcPr>
          <w:p w14:paraId="1E1B2EF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类别</w:t>
            </w:r>
          </w:p>
        </w:tc>
        <w:tc>
          <w:tcPr>
            <w:tcW w:w="369" w:type="pct"/>
            <w:tcBorders>
              <w:top w:val="single" w:color="auto" w:sz="4" w:space="0"/>
              <w:bottom w:val="single" w:color="auto" w:sz="4" w:space="0"/>
            </w:tcBorders>
            <w:noWrap w:val="0"/>
            <w:tcMar>
              <w:left w:w="57" w:type="dxa"/>
              <w:right w:w="57" w:type="dxa"/>
            </w:tcMar>
            <w:vAlign w:val="center"/>
          </w:tcPr>
          <w:p w14:paraId="4EAFD81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序号</w:t>
            </w:r>
          </w:p>
        </w:tc>
        <w:tc>
          <w:tcPr>
            <w:tcW w:w="522" w:type="pct"/>
            <w:tcBorders>
              <w:top w:val="single" w:color="auto" w:sz="4" w:space="0"/>
              <w:bottom w:val="single" w:color="auto" w:sz="2" w:space="0"/>
            </w:tcBorders>
            <w:noWrap w:val="0"/>
            <w:tcMar>
              <w:left w:w="57" w:type="dxa"/>
              <w:right w:w="57" w:type="dxa"/>
            </w:tcMar>
            <w:vAlign w:val="center"/>
          </w:tcPr>
          <w:p w14:paraId="111D4B5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内容</w:t>
            </w:r>
          </w:p>
        </w:tc>
        <w:tc>
          <w:tcPr>
            <w:tcW w:w="3685" w:type="pct"/>
            <w:tcBorders>
              <w:top w:val="single" w:color="auto" w:sz="4" w:space="0"/>
              <w:bottom w:val="single" w:color="auto" w:sz="2" w:space="0"/>
              <w:right w:val="single" w:color="auto" w:sz="4" w:space="0"/>
            </w:tcBorders>
            <w:noWrap w:val="0"/>
            <w:vAlign w:val="center"/>
          </w:tcPr>
          <w:p w14:paraId="1C0EF58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服务标准</w:t>
            </w:r>
          </w:p>
        </w:tc>
      </w:tr>
      <w:tr w14:paraId="04EEF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23" w:type="pct"/>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054CFC9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秩</w:t>
            </w:r>
          </w:p>
          <w:p w14:paraId="07CDA8B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序</w:t>
            </w:r>
          </w:p>
          <w:p w14:paraId="1B539BA6">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维</w:t>
            </w:r>
          </w:p>
          <w:p w14:paraId="4F53C3A7">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护</w:t>
            </w:r>
          </w:p>
        </w:tc>
        <w:tc>
          <w:tcPr>
            <w:tcW w:w="369" w:type="pc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B0393F3">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w:t>
            </w:r>
          </w:p>
        </w:tc>
        <w:tc>
          <w:tcPr>
            <w:tcW w:w="522" w:type="pct"/>
            <w:tcBorders>
              <w:top w:val="single" w:color="auto" w:sz="2" w:space="0"/>
              <w:left w:val="single" w:color="auto" w:sz="4" w:space="0"/>
              <w:bottom w:val="single" w:color="auto" w:sz="4" w:space="0"/>
            </w:tcBorders>
            <w:noWrap w:val="0"/>
            <w:tcMar>
              <w:left w:w="57" w:type="dxa"/>
              <w:right w:w="57" w:type="dxa"/>
            </w:tcMar>
            <w:vAlign w:val="center"/>
          </w:tcPr>
          <w:p w14:paraId="1DD3F2C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人员要求</w:t>
            </w:r>
          </w:p>
        </w:tc>
        <w:tc>
          <w:tcPr>
            <w:tcW w:w="3685" w:type="pct"/>
            <w:tcBorders>
              <w:top w:val="single" w:color="auto" w:sz="2" w:space="0"/>
              <w:bottom w:val="single" w:color="auto" w:sz="4" w:space="0"/>
              <w:right w:val="single" w:color="auto" w:sz="4" w:space="0"/>
            </w:tcBorders>
            <w:noWrap w:val="0"/>
            <w:vAlign w:val="center"/>
          </w:tcPr>
          <w:p w14:paraId="517E8B2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（1）专职人员，以中青年为主，身体健康，工作认真负责并定期接受培训。</w:t>
            </w:r>
          </w:p>
          <w:p w14:paraId="59C89E31">
            <w:pPr>
              <w:keepNext w:val="0"/>
              <w:keepLines w:val="0"/>
              <w:pageBreakBefore w:val="0"/>
              <w:widowControl w:val="0"/>
              <w:kinsoku/>
              <w:wordWrap/>
              <w:overflowPunct/>
              <w:topLinePunct w:val="0"/>
              <w:autoSpaceDE/>
              <w:autoSpaceDN/>
              <w:bidi w:val="0"/>
              <w:adjustRightInd/>
              <w:snapToGrid/>
              <w:spacing w:line="360" w:lineRule="auto"/>
              <w:ind w:left="0" w:hanging="600" w:hangingChars="25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（2）上岗着统一工装，佩带工牌，仪容仪表规范整齐。</w:t>
            </w:r>
          </w:p>
          <w:p w14:paraId="137108F9">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（3）处理和应对园区公共秩序维护工作，能正确使用各类消防、安防器械和设备，能够熟悉、掌握各类治安案件和各类灾害事故的应急预案。</w:t>
            </w:r>
          </w:p>
          <w:p w14:paraId="23E9850E">
            <w:pPr>
              <w:keepNext w:val="0"/>
              <w:keepLines w:val="0"/>
              <w:pageBreakBefore w:val="0"/>
              <w:widowControl w:val="0"/>
              <w:kinsoku/>
              <w:wordWrap/>
              <w:overflowPunct/>
              <w:topLinePunct w:val="0"/>
              <w:autoSpaceDE/>
              <w:autoSpaceDN/>
              <w:bidi w:val="0"/>
              <w:adjustRightInd/>
              <w:snapToGrid/>
              <w:spacing w:line="360" w:lineRule="auto"/>
              <w:ind w:left="0" w:hanging="360" w:hangingChars="15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（4）配备对讲装置和其他必备的安全护卫器械。</w:t>
            </w:r>
          </w:p>
        </w:tc>
      </w:tr>
      <w:tr w14:paraId="7105A5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jc w:val="center"/>
        </w:trPr>
        <w:tc>
          <w:tcPr>
            <w:tcW w:w="423" w:type="pct"/>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0653364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69" w:type="pc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0EAAC07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w:t>
            </w:r>
          </w:p>
        </w:tc>
        <w:tc>
          <w:tcPr>
            <w:tcW w:w="522" w:type="pc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768CBD6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门 岗</w:t>
            </w:r>
          </w:p>
        </w:tc>
        <w:tc>
          <w:tcPr>
            <w:tcW w:w="3685" w:type="pct"/>
            <w:tcBorders>
              <w:top w:val="single" w:color="auto" w:sz="4" w:space="0"/>
              <w:left w:val="single" w:color="auto" w:sz="4" w:space="0"/>
              <w:bottom w:val="single" w:color="auto" w:sz="4" w:space="0"/>
              <w:right w:val="single" w:color="auto" w:sz="4" w:space="0"/>
            </w:tcBorders>
            <w:noWrap w:val="0"/>
            <w:vAlign w:val="center"/>
          </w:tcPr>
          <w:p w14:paraId="7956470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rPr>
              <w:t>（1）主出入口24小时值班看守，并有详细交接班记录和外来车辆的登记记录</w:t>
            </w:r>
            <w:r>
              <w:rPr>
                <w:rFonts w:hint="eastAsia" w:ascii="仿宋" w:hAnsi="仿宋" w:eastAsia="仿宋" w:cs="仿宋"/>
                <w:b w:val="0"/>
                <w:bCs/>
                <w:color w:val="auto"/>
                <w:sz w:val="24"/>
                <w:szCs w:val="24"/>
                <w:highlight w:val="none"/>
                <w:lang w:eastAsia="zh-CN"/>
              </w:rPr>
              <w:t>。</w:t>
            </w:r>
          </w:p>
          <w:p w14:paraId="4B28843E">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rPr>
              <w:t>（2）对进出园区的车辆出入进行管理和登记，保持出入口环境整洁、有序、道路畅通</w:t>
            </w:r>
            <w:r>
              <w:rPr>
                <w:rFonts w:hint="eastAsia" w:ascii="仿宋" w:hAnsi="仿宋" w:eastAsia="仿宋" w:cs="仿宋"/>
                <w:b w:val="0"/>
                <w:bCs/>
                <w:color w:val="auto"/>
                <w:sz w:val="24"/>
                <w:szCs w:val="24"/>
                <w:highlight w:val="none"/>
                <w:lang w:eastAsia="zh-CN"/>
              </w:rPr>
              <w:t>。</w:t>
            </w:r>
          </w:p>
          <w:p w14:paraId="3165B74E">
            <w:pPr>
              <w:keepNext w:val="0"/>
              <w:keepLines w:val="0"/>
              <w:pageBreakBefore w:val="0"/>
              <w:widowControl w:val="0"/>
              <w:kinsoku/>
              <w:wordWrap/>
              <w:overflowPunct/>
              <w:topLinePunct w:val="0"/>
              <w:autoSpaceDE/>
              <w:autoSpaceDN/>
              <w:bidi w:val="0"/>
              <w:adjustRightInd/>
              <w:snapToGrid/>
              <w:spacing w:line="360" w:lineRule="auto"/>
              <w:ind w:left="0" w:hanging="360" w:hangingChars="15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（3）对大型物件搬出实行确认制度，并进行记录。</w:t>
            </w:r>
          </w:p>
        </w:tc>
      </w:tr>
      <w:tr w14:paraId="19C4E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97" w:hRule="atLeast"/>
          <w:jc w:val="center"/>
        </w:trPr>
        <w:tc>
          <w:tcPr>
            <w:tcW w:w="423" w:type="pct"/>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24830AA7">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69" w:type="pc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2BA8A68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w:t>
            </w:r>
          </w:p>
        </w:tc>
        <w:tc>
          <w:tcPr>
            <w:tcW w:w="522" w:type="pc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4D013CE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巡逻岗</w:t>
            </w:r>
          </w:p>
        </w:tc>
        <w:tc>
          <w:tcPr>
            <w:tcW w:w="3685" w:type="pct"/>
            <w:tcBorders>
              <w:top w:val="single" w:color="auto" w:sz="4" w:space="0"/>
              <w:left w:val="single" w:color="auto" w:sz="4" w:space="0"/>
              <w:bottom w:val="single" w:color="auto" w:sz="4" w:space="0"/>
              <w:right w:val="single" w:color="auto" w:sz="4" w:space="0"/>
            </w:tcBorders>
            <w:noWrap w:val="0"/>
            <w:vAlign w:val="center"/>
          </w:tcPr>
          <w:p w14:paraId="3923D5A7">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（1）保安人员按指定路线进行巡逻，每天不少于30次，其中夜间不少于14次。并有详细巡逻记录。</w:t>
            </w:r>
          </w:p>
          <w:p w14:paraId="50CB2FAC">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（2）在遇到异常情况、突发事件时，立即到达现场采取相应的应对措施，及时报告相关部门。</w:t>
            </w:r>
          </w:p>
        </w:tc>
      </w:tr>
      <w:tr w14:paraId="49F22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7" w:hRule="atLeast"/>
          <w:jc w:val="center"/>
        </w:trPr>
        <w:tc>
          <w:tcPr>
            <w:tcW w:w="423" w:type="pct"/>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3DF455D">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69" w:type="pc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27B5F3A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w:t>
            </w:r>
          </w:p>
        </w:tc>
        <w:tc>
          <w:tcPr>
            <w:tcW w:w="522" w:type="pct"/>
            <w:tcBorders>
              <w:top w:val="single" w:color="auto" w:sz="4" w:space="0"/>
              <w:left w:val="single" w:color="auto" w:sz="4" w:space="0"/>
              <w:bottom w:val="single" w:color="auto" w:sz="4" w:space="0"/>
            </w:tcBorders>
            <w:noWrap w:val="0"/>
            <w:tcMar>
              <w:left w:w="57" w:type="dxa"/>
              <w:right w:w="57" w:type="dxa"/>
            </w:tcMar>
            <w:vAlign w:val="center"/>
          </w:tcPr>
          <w:p w14:paraId="33282E9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监控室</w:t>
            </w:r>
          </w:p>
        </w:tc>
        <w:tc>
          <w:tcPr>
            <w:tcW w:w="3685" w:type="pct"/>
            <w:tcBorders>
              <w:top w:val="single" w:color="auto" w:sz="4" w:space="0"/>
              <w:bottom w:val="single" w:color="auto" w:sz="4" w:space="0"/>
              <w:right w:val="single" w:color="auto" w:sz="4" w:space="0"/>
            </w:tcBorders>
            <w:noWrap w:val="0"/>
            <w:vAlign w:val="center"/>
          </w:tcPr>
          <w:p w14:paraId="11F5C68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园区设有监控中心，具备录像监控，覆盖园区主要道路，出入口，设备24小时运行。</w:t>
            </w:r>
          </w:p>
        </w:tc>
      </w:tr>
    </w:tbl>
    <w:p w14:paraId="302CB0F7">
      <w:pPr>
        <w:keepNext w:val="0"/>
        <w:keepLines w:val="0"/>
        <w:pageBreakBefore w:val="0"/>
        <w:widowControl w:val="0"/>
        <w:kinsoku/>
        <w:wordWrap/>
        <w:overflowPunct/>
        <w:topLinePunct w:val="0"/>
        <w:autoSpaceDE/>
        <w:autoSpaceDN/>
        <w:bidi w:val="0"/>
        <w:adjustRightInd/>
        <w:snapToGrid/>
        <w:spacing w:line="360" w:lineRule="auto"/>
        <w:ind w:left="0" w:firstLine="241" w:firstLineChars="1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）共用部位、共用设备设施日常运行、维护服务及标准</w:t>
      </w:r>
    </w:p>
    <w:tbl>
      <w:tblPr>
        <w:tblStyle w:val="3"/>
        <w:tblW w:w="53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638"/>
        <w:gridCol w:w="930"/>
        <w:gridCol w:w="6602"/>
      </w:tblGrid>
      <w:tr w14:paraId="48D2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28" w:type="pct"/>
            <w:noWrap w:val="0"/>
            <w:tcMar>
              <w:left w:w="57" w:type="dxa"/>
              <w:right w:w="57" w:type="dxa"/>
            </w:tcMar>
            <w:vAlign w:val="center"/>
          </w:tcPr>
          <w:p w14:paraId="4D2ACB6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类别</w:t>
            </w:r>
          </w:p>
        </w:tc>
        <w:tc>
          <w:tcPr>
            <w:tcW w:w="357" w:type="pct"/>
            <w:noWrap w:val="0"/>
            <w:tcMar>
              <w:left w:w="57" w:type="dxa"/>
              <w:right w:w="57" w:type="dxa"/>
            </w:tcMar>
            <w:vAlign w:val="center"/>
          </w:tcPr>
          <w:p w14:paraId="7663740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序号</w:t>
            </w:r>
          </w:p>
        </w:tc>
        <w:tc>
          <w:tcPr>
            <w:tcW w:w="520" w:type="pct"/>
            <w:noWrap w:val="0"/>
            <w:tcMar>
              <w:left w:w="57" w:type="dxa"/>
              <w:right w:w="57" w:type="dxa"/>
            </w:tcMar>
            <w:vAlign w:val="center"/>
          </w:tcPr>
          <w:p w14:paraId="38A5C01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内容</w:t>
            </w:r>
          </w:p>
        </w:tc>
        <w:tc>
          <w:tcPr>
            <w:tcW w:w="3693" w:type="pct"/>
            <w:noWrap w:val="0"/>
            <w:tcMar>
              <w:left w:w="57" w:type="dxa"/>
              <w:right w:w="57" w:type="dxa"/>
            </w:tcMar>
            <w:vAlign w:val="center"/>
          </w:tcPr>
          <w:p w14:paraId="1375AD9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运行、保养、维修服务标准</w:t>
            </w:r>
          </w:p>
        </w:tc>
      </w:tr>
      <w:tr w14:paraId="2ED7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428" w:type="pct"/>
            <w:vMerge w:val="restart"/>
            <w:noWrap w:val="0"/>
            <w:tcMar>
              <w:left w:w="57" w:type="dxa"/>
              <w:right w:w="57" w:type="dxa"/>
            </w:tcMar>
            <w:vAlign w:val="center"/>
          </w:tcPr>
          <w:p w14:paraId="6CDFAB77">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设</w:t>
            </w:r>
          </w:p>
          <w:p w14:paraId="078FA11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备</w:t>
            </w:r>
          </w:p>
          <w:p w14:paraId="7B65B7F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设</w:t>
            </w:r>
          </w:p>
          <w:p w14:paraId="24B4E11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施</w:t>
            </w:r>
          </w:p>
          <w:p w14:paraId="516938C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维</w:t>
            </w:r>
          </w:p>
          <w:p w14:paraId="0B14502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护</w:t>
            </w:r>
          </w:p>
        </w:tc>
        <w:tc>
          <w:tcPr>
            <w:tcW w:w="357" w:type="pct"/>
            <w:noWrap w:val="0"/>
            <w:tcMar>
              <w:left w:w="57" w:type="dxa"/>
              <w:right w:w="57" w:type="dxa"/>
            </w:tcMar>
            <w:vAlign w:val="center"/>
          </w:tcPr>
          <w:p w14:paraId="05F98D6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520" w:type="pct"/>
            <w:noWrap w:val="0"/>
            <w:tcMar>
              <w:left w:w="57" w:type="dxa"/>
              <w:right w:w="57" w:type="dxa"/>
            </w:tcMar>
            <w:vAlign w:val="center"/>
          </w:tcPr>
          <w:p w14:paraId="2C156D6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排水系统</w:t>
            </w:r>
          </w:p>
        </w:tc>
        <w:tc>
          <w:tcPr>
            <w:tcW w:w="3693" w:type="pct"/>
            <w:noWrap w:val="0"/>
            <w:tcMar>
              <w:left w:w="57" w:type="dxa"/>
              <w:right w:w="57" w:type="dxa"/>
            </w:tcMar>
            <w:vAlign w:val="center"/>
          </w:tcPr>
          <w:p w14:paraId="17864AA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1</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每季度检查，试运行应急排污泵一次，保持使用正常。</w:t>
            </w:r>
          </w:p>
          <w:p w14:paraId="07CCA29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应急排污泵控制柜电气性能完好，运作正常。</w:t>
            </w:r>
          </w:p>
          <w:p w14:paraId="1292F18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出现楼内排水管道堵塞问题，积极协助业主协调疏通。</w:t>
            </w:r>
          </w:p>
          <w:p w14:paraId="765789D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4</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每年雨季前清理屋面天沟卫生，保证排水畅通。</w:t>
            </w:r>
          </w:p>
          <w:p w14:paraId="6FEFD5EE">
            <w:pPr>
              <w:spacing w:line="360" w:lineRule="auto"/>
              <w:ind w:left="0"/>
              <w:rPr>
                <w:rFonts w:hint="eastAsia"/>
                <w:color w:val="auto"/>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5</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lang w:val="en-US" w:eastAsia="zh-CN"/>
              </w:rPr>
              <w:t>园区污水提升泵，消防应急池</w:t>
            </w:r>
            <w:r>
              <w:rPr>
                <w:rFonts w:hint="eastAsia" w:ascii="仿宋" w:hAnsi="仿宋" w:eastAsia="仿宋" w:cs="仿宋"/>
                <w:b w:val="0"/>
                <w:bCs/>
                <w:color w:val="auto"/>
                <w:sz w:val="24"/>
                <w:szCs w:val="24"/>
                <w:highlight w:val="none"/>
              </w:rPr>
              <w:t>，</w:t>
            </w:r>
            <w:r>
              <w:rPr>
                <w:rFonts w:hint="eastAsia" w:ascii="仿宋" w:hAnsi="仿宋" w:eastAsia="仿宋" w:cs="仿宋"/>
                <w:b w:val="0"/>
                <w:bCs/>
                <w:color w:val="auto"/>
                <w:sz w:val="24"/>
                <w:szCs w:val="24"/>
                <w:highlight w:val="none"/>
                <w:lang w:val="en-US" w:eastAsia="zh-CN"/>
              </w:rPr>
              <w:t>保证</w:t>
            </w:r>
            <w:r>
              <w:rPr>
                <w:rFonts w:hint="eastAsia" w:ascii="仿宋" w:hAnsi="仿宋" w:eastAsia="仿宋" w:cs="仿宋"/>
                <w:b w:val="0"/>
                <w:bCs/>
                <w:color w:val="auto"/>
                <w:sz w:val="24"/>
                <w:szCs w:val="24"/>
                <w:highlight w:val="none"/>
              </w:rPr>
              <w:t>运作正常。</w:t>
            </w:r>
          </w:p>
        </w:tc>
      </w:tr>
      <w:tr w14:paraId="2CF7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28" w:type="pct"/>
            <w:vMerge w:val="continue"/>
            <w:noWrap w:val="0"/>
            <w:tcMar>
              <w:left w:w="57" w:type="dxa"/>
              <w:right w:w="57" w:type="dxa"/>
            </w:tcMar>
            <w:vAlign w:val="center"/>
          </w:tcPr>
          <w:p w14:paraId="562A83B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57" w:type="pct"/>
            <w:noWrap w:val="0"/>
            <w:tcMar>
              <w:left w:w="57" w:type="dxa"/>
              <w:right w:w="57" w:type="dxa"/>
            </w:tcMar>
            <w:vAlign w:val="center"/>
          </w:tcPr>
          <w:p w14:paraId="2573A1E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w:t>
            </w:r>
          </w:p>
        </w:tc>
        <w:tc>
          <w:tcPr>
            <w:tcW w:w="520" w:type="pct"/>
            <w:noWrap w:val="0"/>
            <w:tcMar>
              <w:left w:w="57" w:type="dxa"/>
              <w:right w:w="57" w:type="dxa"/>
            </w:tcMar>
            <w:vAlign w:val="center"/>
          </w:tcPr>
          <w:p w14:paraId="32905BD7">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智能化系统</w:t>
            </w:r>
          </w:p>
        </w:tc>
        <w:tc>
          <w:tcPr>
            <w:tcW w:w="3693" w:type="pct"/>
            <w:noWrap w:val="0"/>
            <w:tcMar>
              <w:left w:w="57" w:type="dxa"/>
              <w:right w:w="57" w:type="dxa"/>
            </w:tcMar>
            <w:vAlign w:val="center"/>
          </w:tcPr>
          <w:p w14:paraId="05F74D2D">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1</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监控系统：各项监控设备24小时正常运行，录像功能正常，完好率90%以上</w:t>
            </w:r>
            <w:r>
              <w:rPr>
                <w:rFonts w:hint="eastAsia" w:ascii="仿宋" w:hAnsi="仿宋" w:eastAsia="仿宋" w:cs="仿宋"/>
                <w:b w:val="0"/>
                <w:bCs/>
                <w:color w:val="auto"/>
                <w:sz w:val="24"/>
                <w:szCs w:val="24"/>
                <w:highlight w:val="none"/>
                <w:lang w:eastAsia="zh-CN"/>
              </w:rPr>
              <w:t>。</w:t>
            </w:r>
          </w:p>
          <w:p w14:paraId="6A771226">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车辆道闸系统：保证其24小时运行正常，刷卡设备、起落杆功能正常，出现故障及时维修。</w:t>
            </w:r>
          </w:p>
          <w:p w14:paraId="169816FA">
            <w:pPr>
              <w:pStyle w:val="2"/>
              <w:ind w:left="0" w:leftChars="0" w:firstLine="0" w:firstLineChars="0"/>
              <w:rPr>
                <w:rFonts w:hint="default" w:eastAsia="仿宋"/>
                <w:color w:val="auto"/>
                <w:highlight w:val="none"/>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路灯：保证其24小时运行正常，出现故障及时维修。</w:t>
            </w:r>
          </w:p>
        </w:tc>
      </w:tr>
      <w:tr w14:paraId="484B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28" w:type="pct"/>
            <w:vMerge w:val="continue"/>
            <w:noWrap w:val="0"/>
            <w:tcMar>
              <w:left w:w="57" w:type="dxa"/>
              <w:right w:w="57" w:type="dxa"/>
            </w:tcMar>
            <w:vAlign w:val="center"/>
          </w:tcPr>
          <w:p w14:paraId="113948F5">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57" w:type="pct"/>
            <w:noWrap w:val="0"/>
            <w:tcMar>
              <w:left w:w="57" w:type="dxa"/>
              <w:right w:w="57" w:type="dxa"/>
            </w:tcMar>
            <w:vAlign w:val="center"/>
          </w:tcPr>
          <w:p w14:paraId="69C552CD">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w:t>
            </w:r>
          </w:p>
        </w:tc>
        <w:tc>
          <w:tcPr>
            <w:tcW w:w="520" w:type="pct"/>
            <w:noWrap w:val="0"/>
            <w:tcMar>
              <w:left w:w="57" w:type="dxa"/>
              <w:right w:w="57" w:type="dxa"/>
            </w:tcMar>
            <w:vAlign w:val="center"/>
          </w:tcPr>
          <w:p w14:paraId="73C934D2">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道路、场地等</w:t>
            </w:r>
          </w:p>
        </w:tc>
        <w:tc>
          <w:tcPr>
            <w:tcW w:w="3693" w:type="pct"/>
            <w:noWrap w:val="0"/>
            <w:tcMar>
              <w:left w:w="57" w:type="dxa"/>
              <w:right w:w="57" w:type="dxa"/>
            </w:tcMar>
            <w:vAlign w:val="center"/>
          </w:tcPr>
          <w:p w14:paraId="4D1D8B3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巡查道路、路面、路牙石、井盖等，发现损坏或存在安全隐患的及时组织修复。</w:t>
            </w:r>
          </w:p>
        </w:tc>
      </w:tr>
      <w:tr w14:paraId="380E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428" w:type="pct"/>
            <w:vMerge w:val="continue"/>
            <w:noWrap w:val="0"/>
            <w:tcMar>
              <w:left w:w="57" w:type="dxa"/>
              <w:right w:w="57" w:type="dxa"/>
            </w:tcMar>
            <w:vAlign w:val="center"/>
          </w:tcPr>
          <w:p w14:paraId="7762F8BD">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57" w:type="pct"/>
            <w:noWrap w:val="0"/>
            <w:tcMar>
              <w:left w:w="57" w:type="dxa"/>
              <w:right w:w="57" w:type="dxa"/>
            </w:tcMar>
            <w:vAlign w:val="center"/>
          </w:tcPr>
          <w:p w14:paraId="7492033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w:t>
            </w:r>
          </w:p>
        </w:tc>
        <w:tc>
          <w:tcPr>
            <w:tcW w:w="520" w:type="pct"/>
            <w:noWrap w:val="0"/>
            <w:tcMar>
              <w:left w:w="57" w:type="dxa"/>
              <w:right w:w="57" w:type="dxa"/>
            </w:tcMar>
            <w:vAlign w:val="center"/>
          </w:tcPr>
          <w:p w14:paraId="3AE1877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消防系统</w:t>
            </w:r>
          </w:p>
        </w:tc>
        <w:tc>
          <w:tcPr>
            <w:tcW w:w="3693" w:type="pct"/>
            <w:noWrap w:val="0"/>
            <w:tcMar>
              <w:left w:w="57" w:type="dxa"/>
              <w:right w:w="57" w:type="dxa"/>
            </w:tcMar>
            <w:vAlign w:val="center"/>
          </w:tcPr>
          <w:p w14:paraId="62757FF0">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1</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跟进火灾报警器设备运行，出现问题立即处理，填写消控室值班记录</w:t>
            </w:r>
            <w:r>
              <w:rPr>
                <w:rFonts w:hint="eastAsia" w:ascii="仿宋" w:hAnsi="仿宋" w:eastAsia="仿宋" w:cs="仿宋"/>
                <w:b w:val="0"/>
                <w:bCs/>
                <w:color w:val="auto"/>
                <w:sz w:val="24"/>
                <w:szCs w:val="24"/>
                <w:highlight w:val="none"/>
                <w:lang w:eastAsia="zh-CN"/>
              </w:rPr>
              <w:t>。</w:t>
            </w:r>
          </w:p>
          <w:p w14:paraId="7940B6D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定期巡查消防栓，消防栓箱内各种配件完好</w:t>
            </w:r>
            <w:r>
              <w:rPr>
                <w:rFonts w:hint="eastAsia" w:ascii="仿宋" w:hAnsi="仿宋" w:eastAsia="仿宋" w:cs="仿宋"/>
                <w:b w:val="0"/>
                <w:bCs/>
                <w:color w:val="auto"/>
                <w:sz w:val="24"/>
                <w:szCs w:val="24"/>
                <w:highlight w:val="none"/>
                <w:lang w:eastAsia="zh-CN"/>
              </w:rPr>
              <w:t>。</w:t>
            </w:r>
          </w:p>
          <w:p w14:paraId="702498E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定期检查灭火器，及时更新或换粉</w:t>
            </w:r>
            <w:r>
              <w:rPr>
                <w:rFonts w:hint="eastAsia" w:ascii="仿宋" w:hAnsi="仿宋" w:eastAsia="仿宋" w:cs="仿宋"/>
                <w:b w:val="0"/>
                <w:bCs/>
                <w:color w:val="auto"/>
                <w:sz w:val="24"/>
                <w:szCs w:val="24"/>
                <w:highlight w:val="none"/>
                <w:lang w:eastAsia="zh-CN"/>
              </w:rPr>
              <w:t>。</w:t>
            </w:r>
          </w:p>
          <w:p w14:paraId="7EE0ADE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4</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消防栓每季度作一次放水检查，保持有效使用，做好检查工作记录</w:t>
            </w:r>
            <w:r>
              <w:rPr>
                <w:rFonts w:hint="eastAsia" w:ascii="仿宋" w:hAnsi="仿宋" w:eastAsia="仿宋" w:cs="仿宋"/>
                <w:b w:val="0"/>
                <w:bCs/>
                <w:color w:val="auto"/>
                <w:sz w:val="24"/>
                <w:szCs w:val="24"/>
                <w:highlight w:val="none"/>
                <w:lang w:eastAsia="zh-CN"/>
              </w:rPr>
              <w:t>。</w:t>
            </w:r>
          </w:p>
          <w:p w14:paraId="7AF700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5</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每半年放水检查一次室外消火栓，阀门定期保养</w:t>
            </w:r>
            <w:r>
              <w:rPr>
                <w:rFonts w:hint="eastAsia" w:ascii="仿宋" w:hAnsi="仿宋" w:eastAsia="仿宋" w:cs="仿宋"/>
                <w:b w:val="0"/>
                <w:bCs/>
                <w:color w:val="auto"/>
                <w:sz w:val="24"/>
                <w:szCs w:val="24"/>
                <w:highlight w:val="none"/>
                <w:lang w:eastAsia="zh-CN"/>
              </w:rPr>
              <w:t>。</w:t>
            </w:r>
          </w:p>
          <w:p w14:paraId="5B0D635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6</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及时维修消防应急照明、安全通道指示灯</w:t>
            </w:r>
            <w:r>
              <w:rPr>
                <w:rFonts w:hint="eastAsia" w:ascii="仿宋" w:hAnsi="仿宋" w:eastAsia="仿宋" w:cs="仿宋"/>
                <w:b w:val="0"/>
                <w:bCs/>
                <w:color w:val="auto"/>
                <w:sz w:val="24"/>
                <w:szCs w:val="24"/>
                <w:highlight w:val="none"/>
                <w:lang w:eastAsia="zh-CN"/>
              </w:rPr>
              <w:t>。</w:t>
            </w:r>
          </w:p>
          <w:p w14:paraId="6FA9B20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7</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做好其他类消防安全工作。</w:t>
            </w:r>
          </w:p>
        </w:tc>
      </w:tr>
      <w:tr w14:paraId="6283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8" w:type="pct"/>
            <w:vMerge w:val="continue"/>
            <w:noWrap w:val="0"/>
            <w:tcMar>
              <w:left w:w="57" w:type="dxa"/>
              <w:right w:w="57" w:type="dxa"/>
            </w:tcMar>
            <w:vAlign w:val="center"/>
          </w:tcPr>
          <w:p w14:paraId="1BC07557">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p>
        </w:tc>
        <w:tc>
          <w:tcPr>
            <w:tcW w:w="357" w:type="pct"/>
            <w:noWrap w:val="0"/>
            <w:tcMar>
              <w:left w:w="57" w:type="dxa"/>
              <w:right w:w="57" w:type="dxa"/>
            </w:tcMar>
            <w:vAlign w:val="center"/>
          </w:tcPr>
          <w:p w14:paraId="484F7CF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520" w:type="pct"/>
            <w:noWrap w:val="0"/>
            <w:tcMar>
              <w:left w:w="57" w:type="dxa"/>
              <w:right w:w="57" w:type="dxa"/>
            </w:tcMar>
            <w:vAlign w:val="center"/>
          </w:tcPr>
          <w:p w14:paraId="0C1F24CB">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室外设施</w:t>
            </w:r>
          </w:p>
        </w:tc>
        <w:tc>
          <w:tcPr>
            <w:tcW w:w="3693" w:type="pct"/>
            <w:noWrap w:val="0"/>
            <w:tcMar>
              <w:left w:w="57" w:type="dxa"/>
              <w:right w:w="57" w:type="dxa"/>
            </w:tcMar>
            <w:vAlign w:val="center"/>
          </w:tcPr>
          <w:p w14:paraId="5348FFC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每日一次巡查，发现损坏立即修复，保证器械、设施的安全使用（如需更换的除外〕。</w:t>
            </w:r>
          </w:p>
        </w:tc>
      </w:tr>
    </w:tbl>
    <w:p w14:paraId="0539627A">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五、服务人员配置及要求</w:t>
      </w:r>
    </w:p>
    <w:p w14:paraId="2833E6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1、投标文件中要明确说明</w:t>
      </w:r>
      <w:r>
        <w:rPr>
          <w:rFonts w:hint="eastAsia" w:ascii="仿宋" w:hAnsi="仿宋" w:eastAsia="仿宋" w:cs="仿宋"/>
          <w:color w:val="auto"/>
          <w:sz w:val="24"/>
          <w:szCs w:val="24"/>
          <w:highlight w:val="none"/>
        </w:rPr>
        <w:t>服务工作安排计划（包括人员工作区域划分、人员职责等）及本项目所有工作服务人员信息（包括但不限于姓名、身份证号、联系方式等）必须向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备案。</w:t>
      </w:r>
    </w:p>
    <w:p w14:paraId="01787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2、人数要求：不少于9人，具体岗位工种见下表：</w:t>
      </w:r>
    </w:p>
    <w:p w14:paraId="12C17767">
      <w:pPr>
        <w:pStyle w:val="2"/>
        <w:keepNext w:val="0"/>
        <w:keepLines w:val="0"/>
        <w:pageBreakBefore w:val="0"/>
        <w:kinsoku/>
        <w:wordWrap/>
        <w:overflowPunct/>
        <w:topLinePunct w:val="0"/>
        <w:autoSpaceDE/>
        <w:autoSpaceDN/>
        <w:bidi w:val="0"/>
        <w:adjustRightInd/>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kern w:val="0"/>
          <w:sz w:val="24"/>
          <w:szCs w:val="24"/>
          <w:highlight w:val="none"/>
        </w:rPr>
        <w:t>人员配备表</w:t>
      </w:r>
    </w:p>
    <w:tbl>
      <w:tblPr>
        <w:tblStyle w:val="3"/>
        <w:tblW w:w="5140" w:type="pct"/>
        <w:tblInd w:w="-2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
        <w:gridCol w:w="1091"/>
        <w:gridCol w:w="652"/>
        <w:gridCol w:w="6398"/>
      </w:tblGrid>
      <w:tr w14:paraId="47902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53" w:type="pct"/>
            <w:noWrap/>
            <w:vAlign w:val="center"/>
          </w:tcPr>
          <w:p w14:paraId="5C5002F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napToGrid w:val="0"/>
                <w:color w:val="auto"/>
                <w:kern w:val="0"/>
                <w:sz w:val="24"/>
                <w:szCs w:val="24"/>
                <w:highlight w:val="none"/>
              </w:rPr>
            </w:pPr>
            <w:r>
              <w:rPr>
                <w:rFonts w:hint="eastAsia" w:ascii="仿宋" w:hAnsi="仿宋" w:eastAsia="仿宋" w:cs="仿宋"/>
                <w:b/>
                <w:bCs/>
                <w:snapToGrid w:val="0"/>
                <w:color w:val="auto"/>
                <w:kern w:val="0"/>
                <w:sz w:val="24"/>
                <w:szCs w:val="24"/>
                <w:highlight w:val="none"/>
              </w:rPr>
              <w:t>序号</w:t>
            </w:r>
          </w:p>
        </w:tc>
        <w:tc>
          <w:tcPr>
            <w:tcW w:w="622" w:type="pct"/>
            <w:noWrap/>
            <w:vAlign w:val="center"/>
          </w:tcPr>
          <w:p w14:paraId="6E0EF6D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napToGrid w:val="0"/>
                <w:color w:val="auto"/>
                <w:kern w:val="0"/>
                <w:sz w:val="24"/>
                <w:szCs w:val="24"/>
                <w:highlight w:val="none"/>
              </w:rPr>
            </w:pPr>
            <w:r>
              <w:rPr>
                <w:rFonts w:hint="eastAsia" w:ascii="仿宋" w:hAnsi="仿宋" w:eastAsia="仿宋" w:cs="仿宋"/>
                <w:b/>
                <w:bCs/>
                <w:snapToGrid w:val="0"/>
                <w:color w:val="auto"/>
                <w:kern w:val="0"/>
                <w:sz w:val="24"/>
                <w:szCs w:val="24"/>
                <w:highlight w:val="none"/>
              </w:rPr>
              <w:t>岗位</w:t>
            </w:r>
          </w:p>
        </w:tc>
        <w:tc>
          <w:tcPr>
            <w:tcW w:w="371" w:type="pct"/>
            <w:noWrap/>
            <w:vAlign w:val="center"/>
          </w:tcPr>
          <w:p w14:paraId="33E83C2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napToGrid w:val="0"/>
                <w:color w:val="auto"/>
                <w:kern w:val="0"/>
                <w:sz w:val="24"/>
                <w:szCs w:val="24"/>
                <w:highlight w:val="none"/>
              </w:rPr>
            </w:pPr>
            <w:r>
              <w:rPr>
                <w:rFonts w:hint="eastAsia" w:ascii="仿宋" w:hAnsi="仿宋" w:eastAsia="仿宋" w:cs="仿宋"/>
                <w:b/>
                <w:bCs/>
                <w:snapToGrid w:val="0"/>
                <w:color w:val="auto"/>
                <w:kern w:val="0"/>
                <w:sz w:val="24"/>
                <w:szCs w:val="24"/>
                <w:highlight w:val="none"/>
              </w:rPr>
              <w:t>人数</w:t>
            </w:r>
          </w:p>
        </w:tc>
        <w:tc>
          <w:tcPr>
            <w:tcW w:w="3651" w:type="pct"/>
            <w:noWrap/>
            <w:vAlign w:val="center"/>
          </w:tcPr>
          <w:p w14:paraId="7F52C70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napToGrid w:val="0"/>
                <w:color w:val="auto"/>
                <w:kern w:val="0"/>
                <w:sz w:val="24"/>
                <w:szCs w:val="24"/>
                <w:highlight w:val="none"/>
              </w:rPr>
            </w:pPr>
            <w:r>
              <w:rPr>
                <w:rFonts w:hint="eastAsia" w:ascii="仿宋" w:hAnsi="仿宋" w:eastAsia="仿宋" w:cs="仿宋"/>
                <w:b/>
                <w:bCs/>
                <w:snapToGrid w:val="0"/>
                <w:color w:val="auto"/>
                <w:kern w:val="0"/>
                <w:sz w:val="24"/>
                <w:szCs w:val="24"/>
                <w:highlight w:val="none"/>
              </w:rPr>
              <w:t>要求</w:t>
            </w:r>
          </w:p>
        </w:tc>
      </w:tr>
      <w:tr w14:paraId="2ABAA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353" w:type="pct"/>
            <w:noWrap/>
            <w:vAlign w:val="center"/>
          </w:tcPr>
          <w:p w14:paraId="06CFD73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kern w:val="0"/>
                <w:sz w:val="24"/>
                <w:szCs w:val="24"/>
                <w:highlight w:val="none"/>
              </w:rPr>
              <w:t>1</w:t>
            </w:r>
          </w:p>
        </w:tc>
        <w:tc>
          <w:tcPr>
            <w:tcW w:w="622" w:type="pct"/>
            <w:noWrap/>
            <w:vAlign w:val="center"/>
          </w:tcPr>
          <w:p w14:paraId="632CF56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lang w:val="en-US" w:eastAsia="zh-CN"/>
              </w:rPr>
              <w:t>管理人员</w:t>
            </w:r>
          </w:p>
        </w:tc>
        <w:tc>
          <w:tcPr>
            <w:tcW w:w="371" w:type="pct"/>
            <w:noWrap/>
            <w:vAlign w:val="center"/>
          </w:tcPr>
          <w:p w14:paraId="12DF174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rPr>
              <w:t>1</w:t>
            </w:r>
            <w:r>
              <w:rPr>
                <w:rFonts w:hint="eastAsia" w:ascii="仿宋" w:hAnsi="仿宋" w:eastAsia="仿宋" w:cs="仿宋"/>
                <w:snapToGrid w:val="0"/>
                <w:color w:val="auto"/>
                <w:kern w:val="0"/>
                <w:sz w:val="24"/>
                <w:szCs w:val="24"/>
                <w:highlight w:val="none"/>
                <w:lang w:val="en-US" w:eastAsia="zh-CN"/>
              </w:rPr>
              <w:t>人</w:t>
            </w:r>
          </w:p>
        </w:tc>
        <w:tc>
          <w:tcPr>
            <w:tcW w:w="3651" w:type="pct"/>
            <w:noWrap/>
            <w:vAlign w:val="center"/>
          </w:tcPr>
          <w:p w14:paraId="036173E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lang w:val="en-US" w:eastAsia="zh-CN"/>
              </w:rPr>
              <w:t>1</w:t>
            </w: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rPr>
              <w:t>从事物业管理行业5年以上工作经验，政治思想素质高，工作责任性强，熟悉物业管理行业的法律、法规、政策和物业管理工作流程，有较强的管理能力和良好的组织、沟通与协调能力。</w:t>
            </w:r>
          </w:p>
        </w:tc>
      </w:tr>
      <w:tr w14:paraId="38D8F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trPr>
        <w:tc>
          <w:tcPr>
            <w:tcW w:w="353" w:type="pct"/>
            <w:noWrap/>
            <w:vAlign w:val="center"/>
          </w:tcPr>
          <w:p w14:paraId="6DA43FE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kern w:val="0"/>
                <w:sz w:val="24"/>
                <w:szCs w:val="24"/>
                <w:highlight w:val="none"/>
              </w:rPr>
              <w:t>2</w:t>
            </w:r>
          </w:p>
        </w:tc>
        <w:tc>
          <w:tcPr>
            <w:tcW w:w="622" w:type="pct"/>
            <w:noWrap/>
            <w:vAlign w:val="center"/>
          </w:tcPr>
          <w:p w14:paraId="2AB9560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kern w:val="0"/>
                <w:sz w:val="24"/>
                <w:szCs w:val="24"/>
                <w:highlight w:val="none"/>
              </w:rPr>
              <w:t>保安人员</w:t>
            </w:r>
          </w:p>
        </w:tc>
        <w:tc>
          <w:tcPr>
            <w:tcW w:w="371" w:type="pct"/>
            <w:noWrap/>
            <w:vAlign w:val="center"/>
          </w:tcPr>
          <w:p w14:paraId="011EC7F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lang w:val="en-US" w:eastAsia="zh-CN"/>
              </w:rPr>
              <w:t>6人</w:t>
            </w:r>
          </w:p>
        </w:tc>
        <w:tc>
          <w:tcPr>
            <w:tcW w:w="3651" w:type="pct"/>
            <w:noWrap/>
            <w:vAlign w:val="center"/>
          </w:tcPr>
          <w:p w14:paraId="40472E5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lang w:val="en-US" w:eastAsia="zh-CN"/>
              </w:rPr>
              <w:t>（1）</w:t>
            </w:r>
            <w:r>
              <w:rPr>
                <w:rFonts w:hint="eastAsia" w:ascii="仿宋" w:hAnsi="仿宋" w:eastAsia="仿宋" w:cs="仿宋"/>
                <w:snapToGrid w:val="0"/>
                <w:color w:val="auto"/>
                <w:kern w:val="0"/>
                <w:sz w:val="24"/>
                <w:szCs w:val="24"/>
                <w:highlight w:val="none"/>
              </w:rPr>
              <w:t>保安人员</w:t>
            </w:r>
            <w:r>
              <w:rPr>
                <w:rFonts w:hint="eastAsia" w:ascii="仿宋" w:hAnsi="仿宋" w:eastAsia="仿宋" w:cs="仿宋"/>
                <w:snapToGrid w:val="0"/>
                <w:color w:val="auto"/>
                <w:kern w:val="0"/>
                <w:sz w:val="24"/>
                <w:szCs w:val="24"/>
                <w:highlight w:val="none"/>
                <w:lang w:val="en-US" w:eastAsia="zh-CN"/>
              </w:rPr>
              <w:t>6</w:t>
            </w:r>
            <w:r>
              <w:rPr>
                <w:rFonts w:hint="eastAsia" w:ascii="仿宋" w:hAnsi="仿宋" w:eastAsia="仿宋" w:cs="仿宋"/>
                <w:snapToGrid w:val="0"/>
                <w:color w:val="auto"/>
                <w:kern w:val="0"/>
                <w:sz w:val="24"/>
                <w:szCs w:val="24"/>
                <w:highlight w:val="none"/>
              </w:rPr>
              <w:t>人（男性，身体健康）分3班轮班执勤巡逻</w:t>
            </w: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lang w:val="en-US" w:eastAsia="zh-CN"/>
              </w:rPr>
              <w:t>其中</w:t>
            </w:r>
            <w:r>
              <w:rPr>
                <w:rFonts w:hint="eastAsia" w:ascii="仿宋" w:hAnsi="仿宋" w:eastAsia="仿宋" w:cs="仿宋"/>
                <w:snapToGrid w:val="0"/>
                <w:color w:val="auto"/>
                <w:kern w:val="0"/>
                <w:sz w:val="24"/>
                <w:szCs w:val="24"/>
                <w:highlight w:val="none"/>
              </w:rPr>
              <w:t>含车管员1名。</w:t>
            </w:r>
          </w:p>
          <w:p w14:paraId="35D96D7C">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napToGrid w:val="0"/>
                <w:color w:val="auto"/>
                <w:kern w:val="0"/>
                <w:sz w:val="24"/>
                <w:szCs w:val="24"/>
                <w:highlight w:val="none"/>
                <w:lang w:eastAsia="zh-CN"/>
              </w:rPr>
            </w:pPr>
            <w:r>
              <w:rPr>
                <w:rFonts w:hint="eastAsia" w:ascii="仿宋" w:hAnsi="仿宋" w:eastAsia="仿宋" w:cs="仿宋"/>
                <w:snapToGrid w:val="0"/>
                <w:color w:val="auto"/>
                <w:kern w:val="0"/>
                <w:sz w:val="24"/>
                <w:szCs w:val="24"/>
                <w:highlight w:val="none"/>
                <w:lang w:val="en-US" w:eastAsia="zh-CN"/>
              </w:rPr>
              <w:t>（2）</w:t>
            </w:r>
            <w:r>
              <w:rPr>
                <w:rFonts w:hint="eastAsia" w:ascii="仿宋" w:hAnsi="仿宋" w:eastAsia="仿宋" w:cs="仿宋"/>
                <w:snapToGrid w:val="0"/>
                <w:color w:val="auto"/>
                <w:kern w:val="0"/>
                <w:sz w:val="24"/>
                <w:szCs w:val="24"/>
                <w:highlight w:val="none"/>
              </w:rPr>
              <w:t>持证上岗</w:t>
            </w: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rPr>
              <w:t>保安员证</w:t>
            </w:r>
            <w:r>
              <w:rPr>
                <w:rFonts w:hint="eastAsia" w:ascii="仿宋" w:hAnsi="仿宋" w:eastAsia="仿宋" w:cs="仿宋"/>
                <w:snapToGrid w:val="0"/>
                <w:color w:val="auto"/>
                <w:kern w:val="0"/>
                <w:sz w:val="24"/>
                <w:szCs w:val="24"/>
                <w:highlight w:val="none"/>
                <w:lang w:val="en-US" w:eastAsia="zh-CN"/>
              </w:rPr>
              <w:t>或安全员证</w:t>
            </w:r>
            <w:r>
              <w:rPr>
                <w:rFonts w:hint="eastAsia" w:ascii="仿宋" w:hAnsi="仿宋" w:eastAsia="仿宋" w:cs="仿宋"/>
                <w:snapToGrid w:val="0"/>
                <w:color w:val="auto"/>
                <w:kern w:val="0"/>
                <w:sz w:val="24"/>
                <w:szCs w:val="24"/>
                <w:highlight w:val="none"/>
              </w:rPr>
              <w:t>（门卫守护）</w:t>
            </w:r>
            <w:r>
              <w:rPr>
                <w:rFonts w:hint="eastAsia" w:ascii="仿宋" w:hAnsi="仿宋" w:eastAsia="仿宋" w:cs="仿宋"/>
                <w:snapToGrid w:val="0"/>
                <w:color w:val="auto"/>
                <w:kern w:val="0"/>
                <w:sz w:val="24"/>
                <w:szCs w:val="24"/>
                <w:highlight w:val="none"/>
                <w:lang w:eastAsia="zh-CN"/>
              </w:rPr>
              <w:t>。</w:t>
            </w:r>
          </w:p>
          <w:p w14:paraId="18670B9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lang w:val="en-US" w:eastAsia="zh-CN"/>
              </w:rPr>
              <w:t>（3）定期对区域内日常设施设备进行巡检，负责园区公共区域的零星维修和日常设施设备的维护保养工作。如涉及强弱电维修工作，则需</w:t>
            </w:r>
            <w:r>
              <w:rPr>
                <w:rFonts w:hint="eastAsia" w:ascii="仿宋" w:hAnsi="仿宋" w:eastAsia="仿宋" w:cs="仿宋"/>
                <w:snapToGrid w:val="0"/>
                <w:color w:val="auto"/>
                <w:kern w:val="0"/>
                <w:sz w:val="24"/>
                <w:szCs w:val="24"/>
                <w:highlight w:val="none"/>
              </w:rPr>
              <w:t>持证上岗</w:t>
            </w:r>
            <w:r>
              <w:rPr>
                <w:rFonts w:hint="eastAsia" w:ascii="仿宋" w:hAnsi="仿宋" w:eastAsia="仿宋" w:cs="仿宋"/>
                <w:snapToGrid w:val="0"/>
                <w:color w:val="auto"/>
                <w:kern w:val="0"/>
                <w:sz w:val="24"/>
                <w:szCs w:val="24"/>
                <w:highlight w:val="none"/>
                <w:lang w:val="en-US" w:eastAsia="zh-CN"/>
              </w:rPr>
              <w:t>。</w:t>
            </w:r>
          </w:p>
          <w:p w14:paraId="35EAC7F0">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color w:val="auto"/>
                <w:highlight w:val="none"/>
              </w:rPr>
            </w:pPr>
            <w:r>
              <w:rPr>
                <w:rFonts w:hint="eastAsia" w:ascii="仿宋" w:hAnsi="仿宋" w:eastAsia="仿宋" w:cs="仿宋"/>
                <w:snapToGrid w:val="0"/>
                <w:color w:val="auto"/>
                <w:kern w:val="0"/>
                <w:sz w:val="24"/>
                <w:szCs w:val="24"/>
                <w:highlight w:val="none"/>
                <w:lang w:val="en-US" w:eastAsia="zh-CN"/>
              </w:rPr>
              <w:t>（4）负责园区</w:t>
            </w:r>
            <w:r>
              <w:rPr>
                <w:rFonts w:hint="eastAsia" w:ascii="仿宋" w:hAnsi="仿宋" w:eastAsia="仿宋" w:cs="仿宋"/>
                <w:snapToGrid w:val="0"/>
                <w:color w:val="auto"/>
                <w:kern w:val="0"/>
                <w:sz w:val="24"/>
                <w:szCs w:val="24"/>
                <w:highlight w:val="none"/>
                <w:lang w:eastAsia="zh-CN"/>
              </w:rPr>
              <w:t>日常绿化养护修剪。</w:t>
            </w:r>
          </w:p>
        </w:tc>
      </w:tr>
      <w:tr w14:paraId="36F09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trPr>
        <w:tc>
          <w:tcPr>
            <w:tcW w:w="353" w:type="pct"/>
            <w:noWrap/>
            <w:vAlign w:val="center"/>
          </w:tcPr>
          <w:p w14:paraId="333ADA3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lang w:val="en-US" w:eastAsia="zh-CN"/>
              </w:rPr>
            </w:pPr>
            <w:r>
              <w:rPr>
                <w:rFonts w:hint="eastAsia" w:ascii="仿宋" w:hAnsi="仿宋" w:eastAsia="仿宋" w:cs="仿宋"/>
                <w:snapToGrid w:val="0"/>
                <w:color w:val="auto"/>
                <w:kern w:val="0"/>
                <w:sz w:val="24"/>
                <w:szCs w:val="24"/>
                <w:highlight w:val="none"/>
                <w:lang w:val="en-US" w:eastAsia="zh-CN"/>
              </w:rPr>
              <w:t>3</w:t>
            </w:r>
          </w:p>
        </w:tc>
        <w:tc>
          <w:tcPr>
            <w:tcW w:w="622" w:type="pct"/>
            <w:noWrap/>
            <w:vAlign w:val="center"/>
          </w:tcPr>
          <w:p w14:paraId="3DE81C0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kern w:val="0"/>
                <w:sz w:val="24"/>
                <w:szCs w:val="24"/>
                <w:highlight w:val="none"/>
              </w:rPr>
              <w:t>保洁人员</w:t>
            </w:r>
          </w:p>
        </w:tc>
        <w:tc>
          <w:tcPr>
            <w:tcW w:w="371" w:type="pct"/>
            <w:noWrap/>
            <w:vAlign w:val="center"/>
          </w:tcPr>
          <w:p w14:paraId="31223DC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napToGrid w:val="0"/>
                <w:color w:val="auto"/>
                <w:kern w:val="0"/>
                <w:sz w:val="24"/>
                <w:szCs w:val="24"/>
                <w:highlight w:val="none"/>
                <w:lang w:eastAsia="zh-CN"/>
              </w:rPr>
            </w:pPr>
            <w:r>
              <w:rPr>
                <w:rFonts w:hint="eastAsia" w:ascii="仿宋" w:hAnsi="仿宋" w:eastAsia="仿宋" w:cs="仿宋"/>
                <w:snapToGrid w:val="0"/>
                <w:color w:val="auto"/>
                <w:kern w:val="0"/>
                <w:sz w:val="24"/>
                <w:szCs w:val="24"/>
                <w:highlight w:val="none"/>
                <w:lang w:val="en-US" w:eastAsia="zh-CN"/>
              </w:rPr>
              <w:t>2人</w:t>
            </w:r>
          </w:p>
        </w:tc>
        <w:tc>
          <w:tcPr>
            <w:tcW w:w="3651" w:type="pct"/>
            <w:noWrap/>
            <w:vAlign w:val="center"/>
          </w:tcPr>
          <w:p w14:paraId="2E7707B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lang w:val="en-US" w:eastAsia="zh-CN"/>
              </w:rPr>
              <w:t>1</w:t>
            </w: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rPr>
              <w:t>保洁人员</w:t>
            </w:r>
            <w:r>
              <w:rPr>
                <w:rFonts w:hint="eastAsia" w:ascii="仿宋" w:hAnsi="仿宋" w:eastAsia="仿宋" w:cs="仿宋"/>
                <w:snapToGrid w:val="0"/>
                <w:color w:val="auto"/>
                <w:kern w:val="0"/>
                <w:sz w:val="24"/>
                <w:szCs w:val="24"/>
                <w:highlight w:val="none"/>
                <w:lang w:val="en-US" w:eastAsia="zh-CN"/>
              </w:rPr>
              <w:t>2</w:t>
            </w:r>
            <w:r>
              <w:rPr>
                <w:rFonts w:hint="eastAsia" w:ascii="仿宋" w:hAnsi="仿宋" w:eastAsia="仿宋" w:cs="仿宋"/>
                <w:snapToGrid w:val="0"/>
                <w:color w:val="auto"/>
                <w:kern w:val="0"/>
                <w:sz w:val="24"/>
                <w:szCs w:val="24"/>
                <w:highlight w:val="none"/>
              </w:rPr>
              <w:t>名（身体健康、培训上岗）需保洁区域</w:t>
            </w:r>
            <w:r>
              <w:rPr>
                <w:rFonts w:hint="eastAsia" w:ascii="仿宋" w:hAnsi="仿宋" w:eastAsia="仿宋" w:cs="仿宋"/>
                <w:snapToGrid w:val="0"/>
                <w:color w:val="auto"/>
                <w:kern w:val="0"/>
                <w:sz w:val="24"/>
                <w:szCs w:val="24"/>
                <w:highlight w:val="none"/>
                <w:lang w:eastAsia="zh-CN"/>
              </w:rPr>
              <w:t>为</w:t>
            </w:r>
            <w:r>
              <w:rPr>
                <w:rFonts w:hint="eastAsia" w:ascii="仿宋" w:hAnsi="仿宋" w:eastAsia="仿宋" w:cs="仿宋"/>
                <w:snapToGrid w:val="0"/>
                <w:color w:val="auto"/>
                <w:kern w:val="0"/>
                <w:sz w:val="24"/>
                <w:szCs w:val="24"/>
                <w:highlight w:val="none"/>
              </w:rPr>
              <w:t>公共部位</w:t>
            </w: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rPr>
              <w:t xml:space="preserve">如外围道路、地上车库、公共绿地等。            </w:t>
            </w:r>
          </w:p>
          <w:p w14:paraId="45548159">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kern w:val="0"/>
                <w:sz w:val="24"/>
                <w:szCs w:val="24"/>
                <w:highlight w:val="none"/>
                <w:lang w:eastAsia="zh-CN"/>
              </w:rPr>
              <w:t>（</w:t>
            </w:r>
            <w:r>
              <w:rPr>
                <w:rFonts w:hint="eastAsia" w:ascii="仿宋" w:hAnsi="仿宋" w:eastAsia="仿宋" w:cs="仿宋"/>
                <w:snapToGrid w:val="0"/>
                <w:color w:val="auto"/>
                <w:kern w:val="0"/>
                <w:sz w:val="24"/>
                <w:szCs w:val="24"/>
                <w:highlight w:val="none"/>
                <w:lang w:val="en-US" w:eastAsia="zh-CN"/>
              </w:rPr>
              <w:t>2</w:t>
            </w:r>
            <w:r>
              <w:rPr>
                <w:rFonts w:hint="eastAsia" w:ascii="仿宋" w:hAnsi="仿宋" w:eastAsia="仿宋" w:cs="仿宋"/>
                <w:snapToGrid w:val="0"/>
                <w:color w:val="auto"/>
                <w:kern w:val="0"/>
                <w:sz w:val="24"/>
                <w:szCs w:val="24"/>
                <w:highlight w:val="none"/>
                <w:lang w:eastAsia="zh-CN"/>
              </w:rPr>
              <w:t>）其中</w:t>
            </w:r>
            <w:r>
              <w:rPr>
                <w:rFonts w:hint="eastAsia" w:ascii="仿宋" w:hAnsi="仿宋" w:eastAsia="仿宋" w:cs="仿宋"/>
                <w:snapToGrid w:val="0"/>
                <w:color w:val="auto"/>
                <w:kern w:val="0"/>
                <w:sz w:val="24"/>
                <w:szCs w:val="24"/>
                <w:highlight w:val="none"/>
              </w:rPr>
              <w:t>专门1人负责区域内的垃圾清运</w:t>
            </w:r>
            <w:r>
              <w:rPr>
                <w:rFonts w:hint="eastAsia" w:ascii="仿宋" w:hAnsi="仿宋" w:eastAsia="仿宋" w:cs="仿宋"/>
                <w:snapToGrid w:val="0"/>
                <w:color w:val="auto"/>
                <w:kern w:val="0"/>
                <w:sz w:val="24"/>
                <w:szCs w:val="24"/>
                <w:highlight w:val="none"/>
                <w:lang w:val="en-US" w:eastAsia="zh-CN"/>
              </w:rPr>
              <w:t>及下水道清掏疏通工作</w:t>
            </w:r>
            <w:r>
              <w:rPr>
                <w:rFonts w:hint="eastAsia" w:ascii="仿宋" w:hAnsi="仿宋" w:eastAsia="仿宋" w:cs="仿宋"/>
                <w:snapToGrid w:val="0"/>
                <w:color w:val="auto"/>
                <w:kern w:val="0"/>
                <w:sz w:val="24"/>
                <w:szCs w:val="24"/>
                <w:highlight w:val="none"/>
              </w:rPr>
              <w:t>。</w:t>
            </w:r>
          </w:p>
        </w:tc>
      </w:tr>
    </w:tbl>
    <w:p w14:paraId="483921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（1）所有服务人员须身体健康、适合本项目工作。</w:t>
      </w:r>
    </w:p>
    <w:p w14:paraId="342653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（2）有岗前培训，服务人员100%经过岗前或在岗培训合格才能独立在岗。</w:t>
      </w:r>
    </w:p>
    <w:p w14:paraId="3913D5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（3）人员必须相对固定，避免经常更换。</w:t>
      </w:r>
    </w:p>
    <w:p w14:paraId="72C5E4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b w:val="0"/>
          <w:bCs/>
          <w:color w:val="auto"/>
          <w:kern w:val="0"/>
          <w:sz w:val="24"/>
          <w:szCs w:val="24"/>
          <w:highlight w:val="none"/>
        </w:rPr>
      </w:pPr>
      <w:r>
        <w:rPr>
          <w:rFonts w:hint="eastAsia" w:ascii="仿宋" w:hAnsi="仿宋" w:eastAsia="仿宋" w:cs="仿宋"/>
          <w:b w:val="0"/>
          <w:bCs w:val="0"/>
          <w:color w:val="auto"/>
          <w:spacing w:val="0"/>
          <w:w w:val="100"/>
          <w:kern w:val="0"/>
          <w:sz w:val="24"/>
          <w:szCs w:val="24"/>
          <w:highlight w:val="none"/>
          <w:lang w:val="en-US" w:eastAsia="zh-CN"/>
        </w:rPr>
        <w:t>（4）</w:t>
      </w:r>
      <w:r>
        <w:rPr>
          <w:rFonts w:hint="eastAsia" w:ascii="仿宋" w:hAnsi="仿宋" w:eastAsia="仿宋" w:cs="仿宋"/>
          <w:b w:val="0"/>
          <w:bCs/>
          <w:color w:val="auto"/>
          <w:kern w:val="0"/>
          <w:sz w:val="24"/>
          <w:szCs w:val="24"/>
          <w:highlight w:val="none"/>
          <w:lang w:val="en-US" w:eastAsia="zh-CN"/>
        </w:rPr>
        <w:t>依法依规为</w:t>
      </w:r>
      <w:r>
        <w:rPr>
          <w:rFonts w:hint="eastAsia" w:ascii="仿宋" w:hAnsi="仿宋" w:eastAsia="仿宋" w:cs="仿宋"/>
          <w:b w:val="0"/>
          <w:bCs w:val="0"/>
          <w:color w:val="auto"/>
          <w:spacing w:val="0"/>
          <w:w w:val="100"/>
          <w:kern w:val="0"/>
          <w:sz w:val="24"/>
          <w:szCs w:val="24"/>
          <w:highlight w:val="none"/>
          <w:lang w:val="en-US" w:eastAsia="zh-CN"/>
        </w:rPr>
        <w:t>服务人员</w:t>
      </w:r>
      <w:r>
        <w:rPr>
          <w:rFonts w:hint="eastAsia" w:ascii="仿宋" w:hAnsi="仿宋" w:eastAsia="仿宋" w:cs="仿宋"/>
          <w:b w:val="0"/>
          <w:bCs/>
          <w:color w:val="auto"/>
          <w:kern w:val="0"/>
          <w:sz w:val="24"/>
          <w:szCs w:val="24"/>
          <w:highlight w:val="none"/>
        </w:rPr>
        <w:t>缴纳社保</w:t>
      </w:r>
      <w:r>
        <w:rPr>
          <w:rFonts w:hint="eastAsia" w:ascii="仿宋" w:hAnsi="仿宋" w:eastAsia="仿宋" w:cs="仿宋"/>
          <w:b w:val="0"/>
          <w:bCs/>
          <w:color w:val="auto"/>
          <w:kern w:val="0"/>
          <w:sz w:val="24"/>
          <w:szCs w:val="24"/>
          <w:highlight w:val="none"/>
          <w:lang w:val="en-US" w:eastAsia="zh-CN"/>
        </w:rPr>
        <w:t>等相关费用</w:t>
      </w:r>
      <w:r>
        <w:rPr>
          <w:rFonts w:hint="eastAsia" w:ascii="仿宋" w:hAnsi="仿宋" w:eastAsia="仿宋" w:cs="仿宋"/>
          <w:b w:val="0"/>
          <w:bCs/>
          <w:color w:val="auto"/>
          <w:kern w:val="0"/>
          <w:sz w:val="24"/>
          <w:szCs w:val="24"/>
          <w:highlight w:val="none"/>
        </w:rPr>
        <w:t>。</w:t>
      </w:r>
    </w:p>
    <w:p w14:paraId="2BBE90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根据专业服务的要求，服务人员要统一着装，所有人员尽职尽责，岗位职责公开公布并上墙公示。为保证服务质量和维护招标人的形象，所有物业管理服务人员均要求品行端正，政治上信得过，政治面貌清楚。</w:t>
      </w:r>
    </w:p>
    <w:p w14:paraId="74C000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4、上表所列计划拟用工数量为长期固定用工人员，如遇重大活动或检查时中标人需根据情况安排临时人员，中标人对此需做出无条件响应配合承诺。</w:t>
      </w:r>
    </w:p>
    <w:p w14:paraId="148637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投标人必须严格执行常州市政府用工工资标准的有关规定，并承担其雇员的劳动报酬、福利待遇、所有员工按劳动法缴纳社会保险、劳动保护、工伤抚恤等用人费用，承担未正确执行劳动法用工规定所产生的法律责任，维护和保障员工的合法权益。</w:t>
      </w:r>
    </w:p>
    <w:p w14:paraId="2B48386D">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六、考核要求</w:t>
      </w:r>
    </w:p>
    <w:tbl>
      <w:tblPr>
        <w:tblStyle w:val="3"/>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120"/>
        <w:gridCol w:w="3006"/>
        <w:gridCol w:w="533"/>
        <w:gridCol w:w="2694"/>
        <w:gridCol w:w="482"/>
      </w:tblGrid>
      <w:tr w14:paraId="17B3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noWrap w:val="0"/>
            <w:vAlign w:val="center"/>
          </w:tcPr>
          <w:p w14:paraId="6B92F0B6">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服务    项目</w:t>
            </w:r>
          </w:p>
        </w:tc>
        <w:tc>
          <w:tcPr>
            <w:tcW w:w="651" w:type="pct"/>
            <w:noWrap w:val="0"/>
            <w:vAlign w:val="center"/>
          </w:tcPr>
          <w:p w14:paraId="574E194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内容</w:t>
            </w:r>
          </w:p>
        </w:tc>
        <w:tc>
          <w:tcPr>
            <w:tcW w:w="1747" w:type="pct"/>
            <w:noWrap w:val="0"/>
            <w:vAlign w:val="center"/>
          </w:tcPr>
          <w:p w14:paraId="5F1307AB">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服务标准</w:t>
            </w:r>
          </w:p>
        </w:tc>
        <w:tc>
          <w:tcPr>
            <w:tcW w:w="310" w:type="pct"/>
            <w:noWrap w:val="0"/>
            <w:vAlign w:val="center"/>
          </w:tcPr>
          <w:p w14:paraId="1C0D768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分值</w:t>
            </w:r>
          </w:p>
        </w:tc>
        <w:tc>
          <w:tcPr>
            <w:tcW w:w="1566" w:type="pct"/>
            <w:noWrap w:val="0"/>
            <w:vAlign w:val="center"/>
          </w:tcPr>
          <w:p w14:paraId="172398AB">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扣分细则</w:t>
            </w:r>
          </w:p>
        </w:tc>
        <w:tc>
          <w:tcPr>
            <w:tcW w:w="280" w:type="pct"/>
            <w:noWrap w:val="0"/>
            <w:vAlign w:val="center"/>
          </w:tcPr>
          <w:p w14:paraId="12B1078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考评</w:t>
            </w:r>
          </w:p>
        </w:tc>
      </w:tr>
      <w:tr w14:paraId="6EF8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44" w:type="pct"/>
            <w:vMerge w:val="restart"/>
            <w:noWrap w:val="0"/>
            <w:vAlign w:val="center"/>
          </w:tcPr>
          <w:p w14:paraId="6D3579D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日常管理与服务（</w:t>
            </w:r>
            <w:r>
              <w:rPr>
                <w:rFonts w:hint="eastAsia" w:ascii="仿宋" w:hAnsi="仿宋" w:eastAsia="仿宋" w:cs="仿宋"/>
                <w:b/>
                <w:color w:val="auto"/>
                <w:sz w:val="22"/>
                <w:szCs w:val="22"/>
                <w:highlight w:val="none"/>
                <w:lang w:val="en-US" w:eastAsia="zh-CN"/>
              </w:rPr>
              <w:t>42</w:t>
            </w:r>
            <w:r>
              <w:rPr>
                <w:rFonts w:hint="eastAsia" w:ascii="仿宋" w:hAnsi="仿宋" w:eastAsia="仿宋" w:cs="仿宋"/>
                <w:b/>
                <w:color w:val="auto"/>
                <w:sz w:val="22"/>
                <w:szCs w:val="22"/>
                <w:highlight w:val="none"/>
              </w:rPr>
              <w:t>分）</w:t>
            </w:r>
          </w:p>
        </w:tc>
        <w:tc>
          <w:tcPr>
            <w:tcW w:w="651" w:type="pct"/>
            <w:noWrap w:val="0"/>
            <w:vAlign w:val="center"/>
          </w:tcPr>
          <w:p w14:paraId="4BB8CCF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服务人员</w:t>
            </w:r>
          </w:p>
          <w:p w14:paraId="31C27E7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基本要求</w:t>
            </w:r>
          </w:p>
        </w:tc>
        <w:tc>
          <w:tcPr>
            <w:tcW w:w="1747" w:type="pct"/>
            <w:noWrap w:val="0"/>
            <w:vAlign w:val="center"/>
          </w:tcPr>
          <w:p w14:paraId="238370E8">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园区经理及主管应取得物业管理从业资格证或上岗证，物业公司与园区物业服务人员应签订劳动合同，服务人员应定期参加培训。</w:t>
            </w:r>
          </w:p>
        </w:tc>
        <w:tc>
          <w:tcPr>
            <w:tcW w:w="310" w:type="pct"/>
            <w:noWrap w:val="0"/>
            <w:vAlign w:val="center"/>
          </w:tcPr>
          <w:p w14:paraId="6F5DB98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w:t>
            </w:r>
            <w:r>
              <w:rPr>
                <w:rFonts w:hint="eastAsia" w:ascii="仿宋" w:hAnsi="仿宋" w:eastAsia="仿宋" w:cs="仿宋"/>
                <w:color w:val="auto"/>
                <w:sz w:val="22"/>
                <w:szCs w:val="22"/>
                <w:highlight w:val="none"/>
              </w:rPr>
              <w:t>分</w:t>
            </w:r>
          </w:p>
        </w:tc>
        <w:tc>
          <w:tcPr>
            <w:tcW w:w="1566" w:type="pct"/>
            <w:noWrap w:val="0"/>
            <w:vAlign w:val="center"/>
          </w:tcPr>
          <w:p w14:paraId="51E9277E">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无物业管理从业资格证或上岗证扣1分，劳动合同签订每缺一人扣0.5分，上岗前未参加培训扣0.5分。</w:t>
            </w:r>
          </w:p>
        </w:tc>
        <w:tc>
          <w:tcPr>
            <w:tcW w:w="280" w:type="pct"/>
            <w:noWrap w:val="0"/>
            <w:vAlign w:val="center"/>
          </w:tcPr>
          <w:p w14:paraId="2DE67E9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6244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4" w:type="pct"/>
            <w:vMerge w:val="continue"/>
            <w:noWrap w:val="0"/>
            <w:vAlign w:val="center"/>
          </w:tcPr>
          <w:p w14:paraId="1CE3230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color w:val="auto"/>
                <w:sz w:val="22"/>
                <w:szCs w:val="22"/>
                <w:highlight w:val="none"/>
              </w:rPr>
            </w:pPr>
          </w:p>
        </w:tc>
        <w:tc>
          <w:tcPr>
            <w:tcW w:w="651" w:type="pct"/>
            <w:noWrap w:val="0"/>
            <w:vAlign w:val="center"/>
          </w:tcPr>
          <w:p w14:paraId="1117DA32">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工作计划</w:t>
            </w:r>
          </w:p>
        </w:tc>
        <w:tc>
          <w:tcPr>
            <w:tcW w:w="1747" w:type="pct"/>
            <w:noWrap w:val="0"/>
            <w:vAlign w:val="center"/>
          </w:tcPr>
          <w:p w14:paraId="01B95B9F">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制定园区物业管理与物业服务工作计划并计划组织实施。</w:t>
            </w:r>
          </w:p>
        </w:tc>
        <w:tc>
          <w:tcPr>
            <w:tcW w:w="310" w:type="pct"/>
            <w:noWrap w:val="0"/>
            <w:vAlign w:val="center"/>
          </w:tcPr>
          <w:p w14:paraId="4C277FB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rPr>
              <w:t>分</w:t>
            </w:r>
          </w:p>
        </w:tc>
        <w:tc>
          <w:tcPr>
            <w:tcW w:w="1566" w:type="pct"/>
            <w:noWrap w:val="0"/>
            <w:vAlign w:val="center"/>
          </w:tcPr>
          <w:p w14:paraId="0D57DF87">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无月度物业管理计划报告扣1分，未按计划实施扣0.5分。</w:t>
            </w:r>
          </w:p>
        </w:tc>
        <w:tc>
          <w:tcPr>
            <w:tcW w:w="280" w:type="pct"/>
            <w:noWrap w:val="0"/>
            <w:vAlign w:val="center"/>
          </w:tcPr>
          <w:p w14:paraId="688DA9A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0FAD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444" w:type="pct"/>
            <w:vMerge w:val="continue"/>
            <w:noWrap w:val="0"/>
            <w:vAlign w:val="center"/>
          </w:tcPr>
          <w:p w14:paraId="6EB18AE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753F9531">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管理制度</w:t>
            </w:r>
          </w:p>
        </w:tc>
        <w:tc>
          <w:tcPr>
            <w:tcW w:w="1747" w:type="pct"/>
            <w:noWrap w:val="0"/>
            <w:vAlign w:val="center"/>
          </w:tcPr>
          <w:p w14:paraId="24238DB4">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建立基本的管理制度；建立物业督查考核制度；收费标准、服务标准、服务时间、及各类机房管理制度上墙公示。</w:t>
            </w:r>
          </w:p>
        </w:tc>
        <w:tc>
          <w:tcPr>
            <w:tcW w:w="310" w:type="pct"/>
            <w:noWrap w:val="0"/>
            <w:vAlign w:val="center"/>
          </w:tcPr>
          <w:p w14:paraId="6739AB3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rPr>
              <w:t>分</w:t>
            </w:r>
          </w:p>
        </w:tc>
        <w:tc>
          <w:tcPr>
            <w:tcW w:w="1566" w:type="pct"/>
            <w:noWrap w:val="0"/>
            <w:vAlign w:val="center"/>
          </w:tcPr>
          <w:p w14:paraId="555E2AEA">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每少一项未上墙扣0.1分，对物业的日常督查制度未建台账扣1.5分，未按规定对物业考核扣1.5分、例会制度无台账扣1.5分，无设施设备、保洁巡检记录一处扣0.5分。</w:t>
            </w:r>
          </w:p>
        </w:tc>
        <w:tc>
          <w:tcPr>
            <w:tcW w:w="280" w:type="pct"/>
            <w:noWrap w:val="0"/>
            <w:vAlign w:val="center"/>
          </w:tcPr>
          <w:p w14:paraId="60F8E44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6F8F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444" w:type="pct"/>
            <w:vMerge w:val="continue"/>
            <w:noWrap w:val="0"/>
            <w:vAlign w:val="center"/>
          </w:tcPr>
          <w:p w14:paraId="3E4B07EB">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7F962DA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保修、投诉受理</w:t>
            </w:r>
          </w:p>
        </w:tc>
        <w:tc>
          <w:tcPr>
            <w:tcW w:w="1747" w:type="pct"/>
            <w:noWrap w:val="0"/>
            <w:vAlign w:val="center"/>
          </w:tcPr>
          <w:p w14:paraId="613FC906">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受理业主或使用人保修、投诉，急修2小时到场查看处理，不能及时修复的，约时修理；投诉5天内答复处理，投诉登记、处理记录、回访记录等填写完整。</w:t>
            </w:r>
          </w:p>
        </w:tc>
        <w:tc>
          <w:tcPr>
            <w:tcW w:w="310" w:type="pct"/>
            <w:noWrap w:val="0"/>
            <w:vAlign w:val="center"/>
          </w:tcPr>
          <w:p w14:paraId="1F7069C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分</w:t>
            </w:r>
          </w:p>
        </w:tc>
        <w:tc>
          <w:tcPr>
            <w:tcW w:w="1566" w:type="pct"/>
            <w:noWrap w:val="0"/>
            <w:vAlign w:val="center"/>
          </w:tcPr>
          <w:p w14:paraId="7743DB24">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未按标准及时维修而产生的升级投诉有一例扣1分；投诉、维修没有回访记录有一例扣0.5分；有漏报、瞒报现象每发现一起扣1分。</w:t>
            </w:r>
          </w:p>
        </w:tc>
        <w:tc>
          <w:tcPr>
            <w:tcW w:w="280" w:type="pct"/>
            <w:noWrap w:val="0"/>
            <w:vAlign w:val="center"/>
          </w:tcPr>
          <w:p w14:paraId="7EEBE6A6">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0764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1044894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479080A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办公环境</w:t>
            </w:r>
          </w:p>
        </w:tc>
        <w:tc>
          <w:tcPr>
            <w:tcW w:w="1747" w:type="pct"/>
            <w:noWrap w:val="0"/>
            <w:vAlign w:val="center"/>
          </w:tcPr>
          <w:p w14:paraId="5FFD1C66">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办公室内外环境清洁、整齐、有序，办公桌面归置整齐，卫生间整洁无异味。</w:t>
            </w:r>
          </w:p>
        </w:tc>
        <w:tc>
          <w:tcPr>
            <w:tcW w:w="310" w:type="pct"/>
            <w:noWrap w:val="0"/>
            <w:vAlign w:val="center"/>
          </w:tcPr>
          <w:p w14:paraId="6F828FA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8</w:t>
            </w:r>
            <w:r>
              <w:rPr>
                <w:rFonts w:hint="eastAsia" w:ascii="仿宋" w:hAnsi="仿宋" w:eastAsia="仿宋" w:cs="仿宋"/>
                <w:color w:val="auto"/>
                <w:sz w:val="22"/>
                <w:szCs w:val="22"/>
                <w:highlight w:val="none"/>
              </w:rPr>
              <w:t>分</w:t>
            </w:r>
          </w:p>
        </w:tc>
        <w:tc>
          <w:tcPr>
            <w:tcW w:w="1566" w:type="pct"/>
            <w:noWrap w:val="0"/>
            <w:vAlign w:val="center"/>
          </w:tcPr>
          <w:p w14:paraId="0DC26904">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地面垃圾及与办公无关的杂物一处扣0.2分；办公桌面凌乱一处扣0.2分；告示栏不整洁扣0.2分；墙面剥脱、有较大污迹、蛛网一处扣0.2分；卫生间不符要求扣0.5分。</w:t>
            </w:r>
          </w:p>
        </w:tc>
        <w:tc>
          <w:tcPr>
            <w:tcW w:w="280" w:type="pct"/>
            <w:noWrap w:val="0"/>
            <w:vAlign w:val="center"/>
          </w:tcPr>
          <w:p w14:paraId="425644F0">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203D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7D5FEA6D">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2FE9A03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装修事项</w:t>
            </w:r>
          </w:p>
        </w:tc>
        <w:tc>
          <w:tcPr>
            <w:tcW w:w="1747" w:type="pct"/>
            <w:noWrap w:val="0"/>
            <w:vAlign w:val="center"/>
          </w:tcPr>
          <w:p w14:paraId="0CC5CE8A">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告知业主或使用人装修须知，对违规装修、违章搭建应及时劝阻并告知相关部门，有记录。</w:t>
            </w:r>
          </w:p>
        </w:tc>
        <w:tc>
          <w:tcPr>
            <w:tcW w:w="310" w:type="pct"/>
            <w:noWrap w:val="0"/>
            <w:vAlign w:val="center"/>
          </w:tcPr>
          <w:p w14:paraId="422BC57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3</w:t>
            </w:r>
            <w:r>
              <w:rPr>
                <w:rFonts w:hint="eastAsia" w:ascii="仿宋" w:hAnsi="仿宋" w:eastAsia="仿宋" w:cs="仿宋"/>
                <w:color w:val="auto"/>
                <w:sz w:val="22"/>
                <w:szCs w:val="22"/>
                <w:highlight w:val="none"/>
              </w:rPr>
              <w:t>分</w:t>
            </w:r>
          </w:p>
        </w:tc>
        <w:tc>
          <w:tcPr>
            <w:tcW w:w="1566" w:type="pct"/>
            <w:noWrap w:val="0"/>
            <w:vAlign w:val="center"/>
          </w:tcPr>
          <w:p w14:paraId="2273A899">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装修资料手续不全每发现一例扣0.5分，违章装修每发现一例扣0.5分，无装修巡查记录一例扣0.5分，占用公共通道、违章搭建发现一处扣4分、破窗、墙开店扣4分。</w:t>
            </w:r>
          </w:p>
        </w:tc>
        <w:tc>
          <w:tcPr>
            <w:tcW w:w="280" w:type="pct"/>
            <w:noWrap w:val="0"/>
            <w:vAlign w:val="center"/>
          </w:tcPr>
          <w:p w14:paraId="48E365AB">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750A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44" w:type="pct"/>
            <w:vMerge w:val="continue"/>
            <w:noWrap w:val="0"/>
            <w:vAlign w:val="center"/>
          </w:tcPr>
          <w:p w14:paraId="2F0FCE6B">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55017AE6">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档案管理</w:t>
            </w:r>
          </w:p>
        </w:tc>
        <w:tc>
          <w:tcPr>
            <w:tcW w:w="1747" w:type="pct"/>
            <w:noWrap w:val="0"/>
            <w:vAlign w:val="center"/>
          </w:tcPr>
          <w:p w14:paraId="26A14102">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建立基础的档案管理制度。</w:t>
            </w:r>
          </w:p>
        </w:tc>
        <w:tc>
          <w:tcPr>
            <w:tcW w:w="310" w:type="pct"/>
            <w:noWrap w:val="0"/>
            <w:vAlign w:val="center"/>
          </w:tcPr>
          <w:p w14:paraId="220F055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3</w:t>
            </w:r>
            <w:r>
              <w:rPr>
                <w:rFonts w:hint="eastAsia" w:ascii="仿宋" w:hAnsi="仿宋" w:eastAsia="仿宋" w:cs="仿宋"/>
                <w:color w:val="auto"/>
                <w:sz w:val="22"/>
                <w:szCs w:val="22"/>
                <w:highlight w:val="none"/>
              </w:rPr>
              <w:t>分</w:t>
            </w:r>
          </w:p>
        </w:tc>
        <w:tc>
          <w:tcPr>
            <w:tcW w:w="1566" w:type="pct"/>
            <w:noWrap w:val="0"/>
            <w:vAlign w:val="center"/>
          </w:tcPr>
          <w:p w14:paraId="63F03481">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基础资料、业主资料每少一项扣0.1分，资料目录少一份扣0.2分，资料未归档扣0.5分。</w:t>
            </w:r>
          </w:p>
        </w:tc>
        <w:tc>
          <w:tcPr>
            <w:tcW w:w="280" w:type="pct"/>
            <w:noWrap w:val="0"/>
            <w:vAlign w:val="center"/>
          </w:tcPr>
          <w:p w14:paraId="769238E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44B5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5E62E52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1E5499C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管理费用的收缴</w:t>
            </w:r>
          </w:p>
        </w:tc>
        <w:tc>
          <w:tcPr>
            <w:tcW w:w="1747" w:type="pct"/>
            <w:noWrap w:val="0"/>
            <w:vAlign w:val="center"/>
          </w:tcPr>
          <w:p w14:paraId="692A2999">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按有关规定收缴相关费用。</w:t>
            </w:r>
          </w:p>
        </w:tc>
        <w:tc>
          <w:tcPr>
            <w:tcW w:w="310" w:type="pct"/>
            <w:noWrap w:val="0"/>
            <w:vAlign w:val="center"/>
          </w:tcPr>
          <w:p w14:paraId="2C31FB0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rPr>
              <w:t>分</w:t>
            </w:r>
          </w:p>
        </w:tc>
        <w:tc>
          <w:tcPr>
            <w:tcW w:w="1566" w:type="pct"/>
            <w:noWrap w:val="0"/>
            <w:vAlign w:val="center"/>
          </w:tcPr>
          <w:p w14:paraId="13ADCC86">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未收汽车停车费的发现一辆扣0.2分，电瓶车未收充电费的发现一辆扣0.5分，未收商铺物业费的发现一例扣0.5分。</w:t>
            </w:r>
          </w:p>
        </w:tc>
        <w:tc>
          <w:tcPr>
            <w:tcW w:w="280" w:type="pct"/>
            <w:noWrap w:val="0"/>
            <w:vAlign w:val="center"/>
          </w:tcPr>
          <w:p w14:paraId="44D99AC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3F63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7827471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0D8600C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备案制度</w:t>
            </w:r>
          </w:p>
        </w:tc>
        <w:tc>
          <w:tcPr>
            <w:tcW w:w="1747" w:type="pct"/>
            <w:noWrap w:val="0"/>
            <w:vAlign w:val="center"/>
          </w:tcPr>
          <w:p w14:paraId="6A0337E1">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物业项目服务方案及相关服务人员的配置应至物业服务中心备案。</w:t>
            </w:r>
          </w:p>
        </w:tc>
        <w:tc>
          <w:tcPr>
            <w:tcW w:w="310" w:type="pct"/>
            <w:noWrap w:val="0"/>
            <w:vAlign w:val="center"/>
          </w:tcPr>
          <w:p w14:paraId="2DC38621">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5分</w:t>
            </w:r>
          </w:p>
        </w:tc>
        <w:tc>
          <w:tcPr>
            <w:tcW w:w="1566" w:type="pct"/>
            <w:noWrap w:val="0"/>
            <w:vAlign w:val="center"/>
          </w:tcPr>
          <w:p w14:paraId="01D258C5">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有一项未进行备案的扣1分，备案内容与实际不符的扣1分，未按规则进行备案变更的扣1分。</w:t>
            </w:r>
          </w:p>
        </w:tc>
        <w:tc>
          <w:tcPr>
            <w:tcW w:w="280" w:type="pct"/>
            <w:noWrap w:val="0"/>
            <w:vAlign w:val="center"/>
          </w:tcPr>
          <w:p w14:paraId="6E96384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color w:val="auto"/>
                <w:sz w:val="22"/>
                <w:szCs w:val="22"/>
                <w:highlight w:val="none"/>
              </w:rPr>
            </w:pPr>
          </w:p>
        </w:tc>
      </w:tr>
      <w:tr w14:paraId="7ABC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4" w:type="pct"/>
            <w:vMerge w:val="restart"/>
            <w:noWrap w:val="0"/>
            <w:vAlign w:val="center"/>
          </w:tcPr>
          <w:p w14:paraId="41C62C9F">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公共区域保洁服务</w:t>
            </w:r>
          </w:p>
          <w:p w14:paraId="755F87D6">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val="en-US" w:eastAsia="zh-CN"/>
              </w:rPr>
              <w:t>(3</w:t>
            </w:r>
            <w:r>
              <w:rPr>
                <w:rFonts w:hint="eastAsia" w:ascii="仿宋" w:hAnsi="仿宋" w:eastAsia="仿宋" w:cs="仿宋"/>
                <w:b/>
                <w:color w:val="auto"/>
                <w:sz w:val="22"/>
                <w:szCs w:val="22"/>
                <w:highlight w:val="none"/>
              </w:rPr>
              <w:t>8分）</w:t>
            </w:r>
          </w:p>
        </w:tc>
        <w:tc>
          <w:tcPr>
            <w:tcW w:w="651" w:type="pct"/>
            <w:noWrap w:val="0"/>
            <w:vAlign w:val="center"/>
          </w:tcPr>
          <w:p w14:paraId="673E7B4A">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生活垃圾</w:t>
            </w:r>
          </w:p>
          <w:p w14:paraId="19A4E1DE">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收集与处理</w:t>
            </w:r>
          </w:p>
        </w:tc>
        <w:tc>
          <w:tcPr>
            <w:tcW w:w="1747" w:type="pct"/>
            <w:noWrap w:val="0"/>
            <w:vAlign w:val="center"/>
          </w:tcPr>
          <w:p w14:paraId="0FFB2ECC">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每天收集垃圾1次，</w:t>
            </w:r>
            <w:r>
              <w:rPr>
                <w:rFonts w:hint="eastAsia" w:ascii="仿宋" w:hAnsi="仿宋" w:eastAsia="仿宋" w:cs="仿宋"/>
                <w:color w:val="auto"/>
                <w:kern w:val="0"/>
                <w:sz w:val="22"/>
                <w:szCs w:val="22"/>
                <w:highlight w:val="none"/>
              </w:rPr>
              <w:t>将生活垃圾收集运送至园区指定垃圾堆放点，生活垃圾及时清运，无抛洒滴漏</w:t>
            </w:r>
            <w:r>
              <w:rPr>
                <w:rFonts w:hint="eastAsia" w:ascii="仿宋" w:hAnsi="仿宋" w:eastAsia="仿宋" w:cs="仿宋"/>
                <w:color w:val="auto"/>
                <w:sz w:val="22"/>
                <w:szCs w:val="22"/>
                <w:highlight w:val="none"/>
              </w:rPr>
              <w:t>。</w:t>
            </w:r>
          </w:p>
        </w:tc>
        <w:tc>
          <w:tcPr>
            <w:tcW w:w="310" w:type="pct"/>
            <w:noWrap w:val="0"/>
            <w:vAlign w:val="center"/>
          </w:tcPr>
          <w:p w14:paraId="4B22879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rPr>
              <w:t>分</w:t>
            </w:r>
          </w:p>
        </w:tc>
        <w:tc>
          <w:tcPr>
            <w:tcW w:w="1566" w:type="pct"/>
            <w:noWrap w:val="0"/>
            <w:vAlign w:val="center"/>
          </w:tcPr>
          <w:p w14:paraId="6AE005A9">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未及时收集、清运扣1分，出现抛洒滴漏扣1分，其余每发现一处不符合扣0.2分。</w:t>
            </w:r>
          </w:p>
        </w:tc>
        <w:tc>
          <w:tcPr>
            <w:tcW w:w="280" w:type="pct"/>
            <w:noWrap w:val="0"/>
            <w:vAlign w:val="center"/>
          </w:tcPr>
          <w:p w14:paraId="008CF74D">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kern w:val="0"/>
                <w:sz w:val="22"/>
                <w:szCs w:val="22"/>
                <w:highlight w:val="none"/>
              </w:rPr>
            </w:pPr>
          </w:p>
        </w:tc>
      </w:tr>
      <w:tr w14:paraId="591B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44" w:type="pct"/>
            <w:vMerge w:val="continue"/>
            <w:noWrap w:val="0"/>
            <w:vAlign w:val="center"/>
          </w:tcPr>
          <w:p w14:paraId="2BE53AC1">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b/>
                <w:color w:val="auto"/>
                <w:sz w:val="22"/>
                <w:szCs w:val="22"/>
                <w:highlight w:val="none"/>
              </w:rPr>
            </w:pPr>
          </w:p>
        </w:tc>
        <w:tc>
          <w:tcPr>
            <w:tcW w:w="651" w:type="pct"/>
            <w:noWrap w:val="0"/>
            <w:vAlign w:val="center"/>
          </w:tcPr>
          <w:p w14:paraId="3CEFE012">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楼内、楼外公共区域</w:t>
            </w:r>
          </w:p>
        </w:tc>
        <w:tc>
          <w:tcPr>
            <w:tcW w:w="1747" w:type="pct"/>
            <w:noWrap w:val="0"/>
            <w:vAlign w:val="center"/>
          </w:tcPr>
          <w:p w14:paraId="437BAE71">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屋顶平台、通道、电梯轿厢、楼梯台阶保洁后无明显垃圾与积灰；楼梯栏杆、开关盒、表箱盖、单元门保洁后无积尘；天花板、公共灯具无明显蜘蛛网与积尘，单元楼道无垃圾堆放，自行车停放，墙壁无乱涂乱画、乱张贴。</w:t>
            </w:r>
          </w:p>
          <w:p w14:paraId="6AE5C7D3">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单元玻璃雨篷、门、窗等玻璃无明显灰尘，</w:t>
            </w:r>
            <w:r>
              <w:rPr>
                <w:rFonts w:hint="eastAsia" w:ascii="仿宋" w:hAnsi="仿宋" w:eastAsia="仿宋" w:cs="仿宋"/>
                <w:color w:val="auto"/>
                <w:kern w:val="0"/>
                <w:sz w:val="22"/>
                <w:szCs w:val="22"/>
                <w:highlight w:val="none"/>
              </w:rPr>
              <w:t>消火栓、信报箱无污迹、无蜘蛛网；道路地面</w:t>
            </w:r>
            <w:r>
              <w:rPr>
                <w:rFonts w:hint="eastAsia" w:ascii="仿宋" w:hAnsi="仿宋" w:eastAsia="仿宋" w:cs="仿宋"/>
                <w:color w:val="auto"/>
                <w:sz w:val="22"/>
                <w:szCs w:val="22"/>
                <w:highlight w:val="none"/>
              </w:rPr>
              <w:t>目视基本干净，无明显垃圾、杂物；</w:t>
            </w:r>
            <w:r>
              <w:rPr>
                <w:rFonts w:hint="eastAsia" w:ascii="仿宋" w:hAnsi="仿宋" w:eastAsia="仿宋" w:cs="仿宋"/>
                <w:color w:val="auto"/>
                <w:kern w:val="0"/>
                <w:sz w:val="22"/>
                <w:szCs w:val="22"/>
                <w:highlight w:val="none"/>
              </w:rPr>
              <w:t>绿地、明沟</w:t>
            </w:r>
            <w:r>
              <w:rPr>
                <w:rFonts w:hint="eastAsia" w:ascii="仿宋" w:hAnsi="仿宋" w:eastAsia="仿宋" w:cs="仿宋"/>
                <w:color w:val="auto"/>
                <w:sz w:val="22"/>
                <w:szCs w:val="22"/>
                <w:highlight w:val="none"/>
              </w:rPr>
              <w:t>目视基本干净；</w:t>
            </w:r>
            <w:r>
              <w:rPr>
                <w:rFonts w:hint="eastAsia" w:ascii="仿宋" w:hAnsi="仿宋" w:eastAsia="仿宋" w:cs="仿宋"/>
                <w:snapToGrid w:val="0"/>
                <w:color w:val="auto"/>
                <w:kern w:val="0"/>
                <w:sz w:val="22"/>
                <w:szCs w:val="22"/>
                <w:highlight w:val="none"/>
                <w:lang w:val="en-US" w:eastAsia="zh-CN"/>
              </w:rPr>
              <w:t>雨、污水管（井）、下水道无堵塞；</w:t>
            </w:r>
            <w:r>
              <w:rPr>
                <w:rFonts w:hint="eastAsia" w:ascii="仿宋" w:hAnsi="仿宋" w:eastAsia="仿宋" w:cs="仿宋"/>
                <w:color w:val="auto"/>
                <w:sz w:val="22"/>
                <w:szCs w:val="22"/>
                <w:highlight w:val="none"/>
              </w:rPr>
              <w:t>定期消杀及灭鼠害蚊蝇；</w:t>
            </w:r>
            <w:r>
              <w:rPr>
                <w:rFonts w:hint="eastAsia" w:ascii="仿宋" w:hAnsi="仿宋" w:eastAsia="仿宋" w:cs="仿宋"/>
                <w:color w:val="auto"/>
                <w:kern w:val="0"/>
                <w:sz w:val="22"/>
                <w:szCs w:val="22"/>
                <w:highlight w:val="none"/>
              </w:rPr>
              <w:t>公共灯具、宣传栏、标识、雕塑小品、消火栓、信报箱、休闲娱乐健身设施等目视无积灰、无乱涂乱贴；设置警示标识，</w:t>
            </w:r>
            <w:r>
              <w:rPr>
                <w:rFonts w:hint="eastAsia" w:ascii="仿宋" w:hAnsi="仿宋" w:eastAsia="仿宋" w:cs="仿宋"/>
                <w:color w:val="auto"/>
                <w:sz w:val="22"/>
                <w:szCs w:val="22"/>
                <w:highlight w:val="none"/>
              </w:rPr>
              <w:t>楼外公共区域无乱堆放。</w:t>
            </w:r>
          </w:p>
        </w:tc>
        <w:tc>
          <w:tcPr>
            <w:tcW w:w="310" w:type="pct"/>
            <w:noWrap w:val="0"/>
            <w:vAlign w:val="center"/>
          </w:tcPr>
          <w:p w14:paraId="53EE276E">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20</w:t>
            </w:r>
            <w:r>
              <w:rPr>
                <w:rFonts w:hint="eastAsia" w:ascii="仿宋" w:hAnsi="仿宋" w:eastAsia="仿宋" w:cs="仿宋"/>
                <w:color w:val="auto"/>
                <w:sz w:val="22"/>
                <w:szCs w:val="22"/>
                <w:highlight w:val="none"/>
              </w:rPr>
              <w:t>分</w:t>
            </w:r>
          </w:p>
        </w:tc>
        <w:tc>
          <w:tcPr>
            <w:tcW w:w="1566" w:type="pct"/>
            <w:noWrap w:val="0"/>
            <w:vAlign w:val="center"/>
          </w:tcPr>
          <w:p w14:paraId="5F27E090">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屋顶平台乱堆放发现一处扣2分，通道台阶每发现一处扣2分，电梯轿厢、扶手、开关、表箱、单元门等设施每发现一处扣1分，蜘蛛网每发现一处扣1分，有明显积灰一处扣0.2分。</w:t>
            </w:r>
          </w:p>
          <w:p w14:paraId="650E334A">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snapToGrid w:val="0"/>
                <w:color w:val="auto"/>
                <w:kern w:val="0"/>
                <w:sz w:val="22"/>
                <w:szCs w:val="22"/>
                <w:highlight w:val="none"/>
                <w:lang w:val="en-US" w:eastAsia="zh-CN"/>
              </w:rPr>
              <w:t>雨、污水管（井）、下水道</w:t>
            </w:r>
            <w:r>
              <w:rPr>
                <w:rFonts w:hint="eastAsia" w:ascii="仿宋" w:hAnsi="仿宋" w:eastAsia="仿宋" w:cs="仿宋"/>
                <w:color w:val="auto"/>
                <w:kern w:val="0"/>
                <w:sz w:val="22"/>
                <w:szCs w:val="22"/>
                <w:highlight w:val="none"/>
              </w:rPr>
              <w:t>每发现一处</w:t>
            </w:r>
            <w:r>
              <w:rPr>
                <w:rFonts w:hint="eastAsia" w:ascii="仿宋" w:hAnsi="仿宋" w:eastAsia="仿宋" w:cs="仿宋"/>
                <w:color w:val="auto"/>
                <w:kern w:val="0"/>
                <w:sz w:val="22"/>
                <w:szCs w:val="22"/>
                <w:highlight w:val="none"/>
                <w:lang w:val="en-US" w:eastAsia="zh-CN"/>
              </w:rPr>
              <w:t>堵塞未处理</w:t>
            </w:r>
            <w:r>
              <w:rPr>
                <w:rFonts w:hint="eastAsia" w:ascii="仿宋" w:hAnsi="仿宋" w:eastAsia="仿宋" w:cs="仿宋"/>
                <w:color w:val="auto"/>
                <w:kern w:val="0"/>
                <w:sz w:val="22"/>
                <w:szCs w:val="22"/>
                <w:highlight w:val="none"/>
              </w:rPr>
              <w:t>扣1分</w:t>
            </w:r>
            <w:r>
              <w:rPr>
                <w:rFonts w:hint="eastAsia" w:ascii="仿宋" w:hAnsi="仿宋" w:eastAsia="仿宋" w:cs="仿宋"/>
                <w:snapToGrid w:val="0"/>
                <w:color w:val="auto"/>
                <w:kern w:val="0"/>
                <w:sz w:val="22"/>
                <w:szCs w:val="22"/>
                <w:highlight w:val="none"/>
                <w:lang w:val="en-US" w:eastAsia="zh-CN"/>
              </w:rPr>
              <w:t>；</w:t>
            </w:r>
          </w:p>
          <w:p w14:paraId="771E316D">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雕塑、宣传栏、休闲等设施每发现一处不清洁扣0.5分，水景每发现一处漂浮物扣0.5分，乱涂乱画乱贴每发现一处扣1分，警示标识未设置每发现一处扣1分，</w:t>
            </w:r>
            <w:r>
              <w:rPr>
                <w:rFonts w:hint="eastAsia" w:ascii="仿宋" w:hAnsi="仿宋" w:eastAsia="仿宋" w:cs="仿宋"/>
                <w:color w:val="auto"/>
                <w:sz w:val="22"/>
                <w:szCs w:val="22"/>
                <w:highlight w:val="none"/>
              </w:rPr>
              <w:t>单元玻璃雨篷、门、窗等玻璃有积灰扣0.5分，楼外公共区域乱堆放扣2分。</w:t>
            </w:r>
          </w:p>
        </w:tc>
        <w:tc>
          <w:tcPr>
            <w:tcW w:w="280" w:type="pct"/>
            <w:noWrap w:val="0"/>
            <w:vAlign w:val="center"/>
          </w:tcPr>
          <w:p w14:paraId="4EB5C71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kern w:val="0"/>
                <w:sz w:val="22"/>
                <w:szCs w:val="22"/>
                <w:highlight w:val="none"/>
              </w:rPr>
            </w:pPr>
          </w:p>
        </w:tc>
      </w:tr>
      <w:tr w14:paraId="51F5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44" w:type="pct"/>
            <w:vMerge w:val="continue"/>
            <w:noWrap w:val="0"/>
            <w:vAlign w:val="center"/>
          </w:tcPr>
          <w:p w14:paraId="129E7CB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b/>
                <w:color w:val="auto"/>
                <w:sz w:val="22"/>
                <w:szCs w:val="22"/>
                <w:highlight w:val="none"/>
              </w:rPr>
            </w:pPr>
          </w:p>
        </w:tc>
        <w:tc>
          <w:tcPr>
            <w:tcW w:w="651" w:type="pct"/>
            <w:noWrap w:val="0"/>
            <w:vAlign w:val="center"/>
          </w:tcPr>
          <w:p w14:paraId="52D16ED2">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垃圾桶、箱</w:t>
            </w:r>
          </w:p>
        </w:tc>
        <w:tc>
          <w:tcPr>
            <w:tcW w:w="1747" w:type="pct"/>
            <w:noWrap w:val="0"/>
            <w:vAlign w:val="center"/>
          </w:tcPr>
          <w:p w14:paraId="670CC072">
            <w:pPr>
              <w:keepNext w:val="0"/>
              <w:keepLines w:val="0"/>
              <w:pageBreakBefore w:val="0"/>
              <w:widowControl/>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垃圾桶、果皮箱夏季每周清洁1次，其它季节每月清洁2次，</w:t>
            </w:r>
            <w:r>
              <w:rPr>
                <w:rFonts w:hint="eastAsia" w:ascii="仿宋" w:hAnsi="仿宋" w:eastAsia="仿宋" w:cs="仿宋"/>
                <w:color w:val="auto"/>
                <w:sz w:val="22"/>
                <w:szCs w:val="22"/>
                <w:highlight w:val="none"/>
              </w:rPr>
              <w:t>周围地面无明显散落垃圾及污迹。</w:t>
            </w:r>
          </w:p>
        </w:tc>
        <w:tc>
          <w:tcPr>
            <w:tcW w:w="310" w:type="pct"/>
            <w:noWrap w:val="0"/>
            <w:vAlign w:val="center"/>
          </w:tcPr>
          <w:p w14:paraId="5D0EEF9E">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4</w:t>
            </w:r>
            <w:r>
              <w:rPr>
                <w:rFonts w:hint="eastAsia" w:ascii="仿宋" w:hAnsi="仿宋" w:eastAsia="仿宋" w:cs="仿宋"/>
                <w:color w:val="auto"/>
                <w:sz w:val="22"/>
                <w:szCs w:val="22"/>
                <w:highlight w:val="none"/>
              </w:rPr>
              <w:t>分</w:t>
            </w:r>
          </w:p>
        </w:tc>
        <w:tc>
          <w:tcPr>
            <w:tcW w:w="1566" w:type="pct"/>
            <w:noWrap w:val="0"/>
            <w:vAlign w:val="center"/>
          </w:tcPr>
          <w:p w14:paraId="3F357C46">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垃圾房未按频次清洁扣0.5分。垃圾桶未按频次清洁扣0.5分，周围每发现一处污迹扣1分。</w:t>
            </w:r>
          </w:p>
        </w:tc>
        <w:tc>
          <w:tcPr>
            <w:tcW w:w="280" w:type="pct"/>
            <w:noWrap w:val="0"/>
            <w:vAlign w:val="center"/>
          </w:tcPr>
          <w:p w14:paraId="0A6839EA">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kern w:val="0"/>
                <w:sz w:val="22"/>
                <w:szCs w:val="22"/>
                <w:highlight w:val="none"/>
              </w:rPr>
            </w:pPr>
          </w:p>
        </w:tc>
      </w:tr>
      <w:tr w14:paraId="69FF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44" w:type="pct"/>
            <w:vMerge w:val="continue"/>
            <w:noWrap w:val="0"/>
            <w:vAlign w:val="center"/>
          </w:tcPr>
          <w:p w14:paraId="0B1EE05C">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b/>
                <w:color w:val="auto"/>
                <w:sz w:val="22"/>
                <w:szCs w:val="22"/>
                <w:highlight w:val="none"/>
              </w:rPr>
            </w:pPr>
          </w:p>
        </w:tc>
        <w:tc>
          <w:tcPr>
            <w:tcW w:w="651" w:type="pct"/>
            <w:noWrap w:val="0"/>
            <w:vAlign w:val="center"/>
          </w:tcPr>
          <w:p w14:paraId="6E1B4707">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乔、灌木补种</w:t>
            </w:r>
          </w:p>
          <w:p w14:paraId="04FC78D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1747" w:type="pct"/>
            <w:noWrap w:val="0"/>
            <w:vAlign w:val="center"/>
          </w:tcPr>
          <w:p w14:paraId="5350C32C">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乔、灌木保存率85%以上。要有补种计划，补种率不低于10％。长势良好。</w:t>
            </w:r>
          </w:p>
        </w:tc>
        <w:tc>
          <w:tcPr>
            <w:tcW w:w="310" w:type="pct"/>
            <w:noWrap w:val="0"/>
            <w:vAlign w:val="center"/>
          </w:tcPr>
          <w:p w14:paraId="7D42B314">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分</w:t>
            </w:r>
          </w:p>
        </w:tc>
        <w:tc>
          <w:tcPr>
            <w:tcW w:w="1566" w:type="pct"/>
            <w:noWrap w:val="0"/>
            <w:vAlign w:val="center"/>
          </w:tcPr>
          <w:p w14:paraId="4559A3F0">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死树移除后不及时平坑，每个扣1分，缺株未补每棵扣0.5分，死树每棵扣0.5分,人为破坏一处扣0.5分。</w:t>
            </w:r>
          </w:p>
        </w:tc>
        <w:tc>
          <w:tcPr>
            <w:tcW w:w="280" w:type="pct"/>
            <w:noWrap w:val="0"/>
            <w:vAlign w:val="center"/>
          </w:tcPr>
          <w:p w14:paraId="0378A1CD">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kern w:val="0"/>
                <w:sz w:val="22"/>
                <w:szCs w:val="22"/>
                <w:highlight w:val="none"/>
              </w:rPr>
            </w:pPr>
          </w:p>
        </w:tc>
      </w:tr>
      <w:tr w14:paraId="2C80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44" w:type="pct"/>
            <w:vMerge w:val="continue"/>
            <w:noWrap w:val="0"/>
            <w:vAlign w:val="center"/>
          </w:tcPr>
          <w:p w14:paraId="4DA03FD2">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3620DB42">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绿化环境</w:t>
            </w:r>
          </w:p>
        </w:tc>
        <w:tc>
          <w:tcPr>
            <w:tcW w:w="1747" w:type="pct"/>
            <w:noWrap w:val="0"/>
            <w:vAlign w:val="center"/>
          </w:tcPr>
          <w:p w14:paraId="7EC1E0D8">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绿化带目视基本无纸屑、果皮、烟头、枯枝败叶、罐类物品和其他杂物等。</w:t>
            </w:r>
          </w:p>
        </w:tc>
        <w:tc>
          <w:tcPr>
            <w:tcW w:w="310" w:type="pct"/>
            <w:noWrap w:val="0"/>
            <w:vAlign w:val="center"/>
          </w:tcPr>
          <w:p w14:paraId="545AED4C">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5分</w:t>
            </w:r>
          </w:p>
        </w:tc>
        <w:tc>
          <w:tcPr>
            <w:tcW w:w="1566" w:type="pct"/>
            <w:noWrap w:val="0"/>
            <w:vAlign w:val="center"/>
          </w:tcPr>
          <w:p w14:paraId="70FD71E6">
            <w:pPr>
              <w:keepNext w:val="0"/>
              <w:keepLines w:val="0"/>
              <w:pageBreakBefore w:val="0"/>
              <w:widowControl/>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每发现一处扣0.5分，发现一处种菜扣4分，绿化带树木上有晾晒现象发现一处扣1分。</w:t>
            </w:r>
          </w:p>
        </w:tc>
        <w:tc>
          <w:tcPr>
            <w:tcW w:w="280" w:type="pct"/>
            <w:noWrap w:val="0"/>
            <w:vAlign w:val="center"/>
          </w:tcPr>
          <w:p w14:paraId="51CEC27F">
            <w:pPr>
              <w:keepNext w:val="0"/>
              <w:keepLines w:val="0"/>
              <w:pageBreakBefore w:val="0"/>
              <w:widowControl/>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kern w:val="0"/>
                <w:sz w:val="22"/>
                <w:szCs w:val="22"/>
                <w:highlight w:val="none"/>
              </w:rPr>
            </w:pPr>
          </w:p>
        </w:tc>
      </w:tr>
      <w:tr w14:paraId="1709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444" w:type="pct"/>
            <w:vMerge w:val="restart"/>
            <w:noWrap w:val="0"/>
            <w:vAlign w:val="center"/>
          </w:tcPr>
          <w:p w14:paraId="3D8741C9">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公共秩序维护</w:t>
            </w:r>
          </w:p>
          <w:p w14:paraId="1F853224">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b/>
                <w:color w:val="auto"/>
                <w:sz w:val="22"/>
                <w:szCs w:val="22"/>
                <w:highlight w:val="none"/>
              </w:rPr>
              <w:t>（20分）</w:t>
            </w:r>
          </w:p>
        </w:tc>
        <w:tc>
          <w:tcPr>
            <w:tcW w:w="651" w:type="pct"/>
            <w:noWrap w:val="0"/>
            <w:vAlign w:val="center"/>
          </w:tcPr>
          <w:p w14:paraId="0AB54305">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人员要求</w:t>
            </w:r>
          </w:p>
        </w:tc>
        <w:tc>
          <w:tcPr>
            <w:tcW w:w="1747" w:type="pct"/>
            <w:noWrap w:val="0"/>
            <w:vAlign w:val="center"/>
          </w:tcPr>
          <w:p w14:paraId="4ADF17F6">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监控（消控）人员取得消防行业特有工种职业资格证书，上岗时佩戴统一标志，穿戴统一制服，仪容仪表端庄整洁。</w:t>
            </w:r>
          </w:p>
        </w:tc>
        <w:tc>
          <w:tcPr>
            <w:tcW w:w="310" w:type="pct"/>
            <w:noWrap w:val="0"/>
            <w:vAlign w:val="center"/>
          </w:tcPr>
          <w:p w14:paraId="0AE9CEF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3分</w:t>
            </w:r>
          </w:p>
        </w:tc>
        <w:tc>
          <w:tcPr>
            <w:tcW w:w="1566" w:type="pct"/>
            <w:noWrap w:val="0"/>
            <w:vAlign w:val="center"/>
          </w:tcPr>
          <w:p w14:paraId="699C2FC6">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监控（消控）人员无资格证书扣1分，仪表仪容、个人卫生不符合要求扣0.5分，着装不符合要求扣1分，不挂牌上岗1人扣0.5分。</w:t>
            </w:r>
          </w:p>
        </w:tc>
        <w:tc>
          <w:tcPr>
            <w:tcW w:w="280" w:type="pct"/>
            <w:noWrap w:val="0"/>
            <w:vAlign w:val="center"/>
          </w:tcPr>
          <w:p w14:paraId="2FE5A95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r w14:paraId="7B2F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35200F87">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vMerge w:val="restart"/>
            <w:noWrap w:val="0"/>
            <w:vAlign w:val="center"/>
          </w:tcPr>
          <w:p w14:paraId="454FB361">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门岗</w:t>
            </w:r>
          </w:p>
          <w:p w14:paraId="305C887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（车库）</w:t>
            </w:r>
          </w:p>
        </w:tc>
        <w:tc>
          <w:tcPr>
            <w:tcW w:w="1747" w:type="pct"/>
            <w:noWrap w:val="0"/>
            <w:vAlign w:val="center"/>
          </w:tcPr>
          <w:p w14:paraId="24DD4D23">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主出入口24小时值班看守，次出入口16小时值班看守。</w:t>
            </w:r>
          </w:p>
        </w:tc>
        <w:tc>
          <w:tcPr>
            <w:tcW w:w="310" w:type="pct"/>
            <w:noWrap w:val="0"/>
            <w:vAlign w:val="center"/>
          </w:tcPr>
          <w:p w14:paraId="151C17A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4分</w:t>
            </w:r>
          </w:p>
        </w:tc>
        <w:tc>
          <w:tcPr>
            <w:tcW w:w="1566" w:type="pct"/>
            <w:noWrap w:val="0"/>
            <w:vAlign w:val="center"/>
          </w:tcPr>
          <w:p w14:paraId="32F11662">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脱岗全扣。在岗执勤不到位有一例扣0.5分，工作时间睡觉全扣，不按规定时间站岗一次扣2分。</w:t>
            </w:r>
          </w:p>
        </w:tc>
        <w:tc>
          <w:tcPr>
            <w:tcW w:w="280" w:type="pct"/>
            <w:noWrap w:val="0"/>
            <w:vAlign w:val="center"/>
          </w:tcPr>
          <w:p w14:paraId="67ADB43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r w14:paraId="4BC2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635979F7">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vMerge w:val="continue"/>
            <w:noWrap w:val="0"/>
            <w:vAlign w:val="center"/>
          </w:tcPr>
          <w:p w14:paraId="2B9ED7B5">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1747" w:type="pct"/>
            <w:noWrap w:val="0"/>
            <w:vAlign w:val="center"/>
          </w:tcPr>
          <w:p w14:paraId="2AF9AF5F">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对进出园区的车辆进行管理。</w:t>
            </w:r>
          </w:p>
        </w:tc>
        <w:tc>
          <w:tcPr>
            <w:tcW w:w="310" w:type="pct"/>
            <w:noWrap w:val="0"/>
            <w:vAlign w:val="center"/>
          </w:tcPr>
          <w:p w14:paraId="09CEDAFE">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2分</w:t>
            </w:r>
          </w:p>
        </w:tc>
        <w:tc>
          <w:tcPr>
            <w:tcW w:w="1566" w:type="pct"/>
            <w:noWrap w:val="0"/>
            <w:vAlign w:val="center"/>
          </w:tcPr>
          <w:p w14:paraId="77153FB1">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车辆、人员管控不到位一例各扣1分，交通疏导不及时、不到位一例扣1分。</w:t>
            </w:r>
          </w:p>
        </w:tc>
        <w:tc>
          <w:tcPr>
            <w:tcW w:w="280" w:type="pct"/>
            <w:noWrap w:val="0"/>
            <w:vAlign w:val="center"/>
          </w:tcPr>
          <w:p w14:paraId="63278E5F">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r w14:paraId="23F8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197E0F27">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vMerge w:val="continue"/>
            <w:noWrap w:val="0"/>
            <w:vAlign w:val="center"/>
          </w:tcPr>
          <w:p w14:paraId="49BEA074">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1747" w:type="pct"/>
            <w:noWrap w:val="0"/>
            <w:vAlign w:val="center"/>
          </w:tcPr>
          <w:p w14:paraId="2F6532AB">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岗亭内外、出入口环境清洁整齐有序。</w:t>
            </w:r>
          </w:p>
        </w:tc>
        <w:tc>
          <w:tcPr>
            <w:tcW w:w="310" w:type="pct"/>
            <w:noWrap w:val="0"/>
            <w:vAlign w:val="center"/>
          </w:tcPr>
          <w:p w14:paraId="60B18BF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3分</w:t>
            </w:r>
          </w:p>
        </w:tc>
        <w:tc>
          <w:tcPr>
            <w:tcW w:w="1566" w:type="pct"/>
            <w:noWrap w:val="0"/>
            <w:vAlign w:val="center"/>
          </w:tcPr>
          <w:p w14:paraId="4682266E">
            <w:pPr>
              <w:keepNext w:val="0"/>
              <w:keepLines w:val="0"/>
              <w:pageBreakBefore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岗亭内部物品摆放不整齐、有杂物，窗户玻璃有积尘有一处扣一分，岗亭周围、及出入口有垃圾、乱堆、乱放、乱张贴一处扣2分。</w:t>
            </w:r>
          </w:p>
        </w:tc>
        <w:tc>
          <w:tcPr>
            <w:tcW w:w="280" w:type="pct"/>
            <w:noWrap w:val="0"/>
            <w:vAlign w:val="center"/>
          </w:tcPr>
          <w:p w14:paraId="2B43209F">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r w14:paraId="4B03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44" w:type="pct"/>
            <w:vMerge w:val="continue"/>
            <w:noWrap w:val="0"/>
            <w:vAlign w:val="center"/>
          </w:tcPr>
          <w:p w14:paraId="13772E4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noWrap w:val="0"/>
            <w:vAlign w:val="center"/>
          </w:tcPr>
          <w:p w14:paraId="185056A3">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巡逻岗</w:t>
            </w:r>
          </w:p>
        </w:tc>
        <w:tc>
          <w:tcPr>
            <w:tcW w:w="1747" w:type="pct"/>
            <w:noWrap w:val="0"/>
            <w:vAlign w:val="center"/>
          </w:tcPr>
          <w:p w14:paraId="5FD6ABA4">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白天夜间不间断巡逻，并有巡逻记录。消防演练每年一次，有台账、有照片。</w:t>
            </w:r>
          </w:p>
        </w:tc>
        <w:tc>
          <w:tcPr>
            <w:tcW w:w="310" w:type="pct"/>
            <w:noWrap w:val="0"/>
            <w:vAlign w:val="center"/>
          </w:tcPr>
          <w:p w14:paraId="63EEDCD8">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2分</w:t>
            </w:r>
          </w:p>
        </w:tc>
        <w:tc>
          <w:tcPr>
            <w:tcW w:w="1566" w:type="pct"/>
            <w:noWrap w:val="0"/>
            <w:vAlign w:val="center"/>
          </w:tcPr>
          <w:p w14:paraId="54D6A16C">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无巡逻记录扣0.5分，巡逻少一次扣0.5分，无消防记录扣1分，无演练扣2分。</w:t>
            </w:r>
          </w:p>
        </w:tc>
        <w:tc>
          <w:tcPr>
            <w:tcW w:w="280" w:type="pct"/>
            <w:noWrap w:val="0"/>
            <w:vAlign w:val="center"/>
          </w:tcPr>
          <w:p w14:paraId="2591FF8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r w14:paraId="6E68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6B079D20">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vMerge w:val="restart"/>
            <w:noWrap w:val="0"/>
            <w:vAlign w:val="center"/>
          </w:tcPr>
          <w:p w14:paraId="234166DA">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交通、车辆管理</w:t>
            </w:r>
          </w:p>
        </w:tc>
        <w:tc>
          <w:tcPr>
            <w:tcW w:w="1747" w:type="pct"/>
            <w:noWrap w:val="0"/>
            <w:vAlign w:val="center"/>
          </w:tcPr>
          <w:p w14:paraId="4509075A">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地面车辆划线停放有序。</w:t>
            </w:r>
          </w:p>
        </w:tc>
        <w:tc>
          <w:tcPr>
            <w:tcW w:w="310" w:type="pct"/>
            <w:noWrap w:val="0"/>
            <w:vAlign w:val="center"/>
          </w:tcPr>
          <w:p w14:paraId="2961814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4分</w:t>
            </w:r>
          </w:p>
        </w:tc>
        <w:tc>
          <w:tcPr>
            <w:tcW w:w="1566" w:type="pct"/>
            <w:noWrap w:val="0"/>
            <w:vAlign w:val="center"/>
          </w:tcPr>
          <w:p w14:paraId="3EA7CCDF">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车位停放不整齐一处扣0.1分，车辆在绿化带、道板上乱停放一辆扣2分。</w:t>
            </w:r>
          </w:p>
        </w:tc>
        <w:tc>
          <w:tcPr>
            <w:tcW w:w="280" w:type="pct"/>
            <w:noWrap w:val="0"/>
            <w:vAlign w:val="center"/>
          </w:tcPr>
          <w:p w14:paraId="1D464324">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r w14:paraId="1C63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noWrap w:val="0"/>
            <w:vAlign w:val="center"/>
          </w:tcPr>
          <w:p w14:paraId="18C2601C">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651" w:type="pct"/>
            <w:vMerge w:val="continue"/>
            <w:noWrap w:val="0"/>
            <w:vAlign w:val="center"/>
          </w:tcPr>
          <w:p w14:paraId="611ADE9F">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c>
          <w:tcPr>
            <w:tcW w:w="1747" w:type="pct"/>
            <w:noWrap w:val="0"/>
            <w:vAlign w:val="center"/>
          </w:tcPr>
          <w:p w14:paraId="2EF696A4">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车库内车辆停放有序，消防设施设备完好，交通标识明显、完整。</w:t>
            </w:r>
          </w:p>
        </w:tc>
        <w:tc>
          <w:tcPr>
            <w:tcW w:w="310" w:type="pct"/>
            <w:noWrap w:val="0"/>
            <w:vAlign w:val="center"/>
          </w:tcPr>
          <w:p w14:paraId="1D0A2EF5">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2分</w:t>
            </w:r>
          </w:p>
        </w:tc>
        <w:tc>
          <w:tcPr>
            <w:tcW w:w="1566" w:type="pct"/>
            <w:noWrap w:val="0"/>
            <w:vAlign w:val="center"/>
          </w:tcPr>
          <w:p w14:paraId="4C728985">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车辆停放无序扣0.5分，消防设施设备不全一件扣1分，交通标识不完整、不明显一项扣0.5分。</w:t>
            </w:r>
          </w:p>
        </w:tc>
        <w:tc>
          <w:tcPr>
            <w:tcW w:w="280" w:type="pct"/>
            <w:noWrap w:val="0"/>
            <w:vAlign w:val="center"/>
          </w:tcPr>
          <w:p w14:paraId="2411BB7B">
            <w:pPr>
              <w:keepNext w:val="0"/>
              <w:keepLines w:val="0"/>
              <w:pageBreakBefore w:val="0"/>
              <w:kinsoku/>
              <w:wordWrap/>
              <w:overflowPunct/>
              <w:topLinePunct w:val="0"/>
              <w:autoSpaceDE/>
              <w:autoSpaceDN/>
              <w:bidi w:val="0"/>
              <w:adjustRightInd/>
              <w:spacing w:line="360" w:lineRule="auto"/>
              <w:ind w:firstLine="0" w:firstLineChars="0"/>
              <w:jc w:val="center"/>
              <w:textAlignment w:val="auto"/>
              <w:rPr>
                <w:rFonts w:hint="eastAsia" w:ascii="仿宋" w:hAnsi="仿宋" w:eastAsia="仿宋" w:cs="仿宋"/>
                <w:color w:val="auto"/>
                <w:sz w:val="22"/>
                <w:szCs w:val="22"/>
                <w:highlight w:val="none"/>
              </w:rPr>
            </w:pPr>
          </w:p>
        </w:tc>
      </w:tr>
    </w:tbl>
    <w:p w14:paraId="1ABBEAA3">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七、其他要求</w:t>
      </w:r>
    </w:p>
    <w:p w14:paraId="25C764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bCs/>
          <w:color w:val="auto"/>
          <w:sz w:val="24"/>
          <w:szCs w:val="24"/>
          <w:highlight w:val="none"/>
          <w:lang w:val="en-US" w:eastAsia="zh-CN"/>
        </w:rPr>
        <w:t>承包方式：</w:t>
      </w:r>
      <w:r>
        <w:rPr>
          <w:rFonts w:hint="eastAsia" w:ascii="仿宋" w:hAnsi="仿宋" w:eastAsia="仿宋" w:cs="仿宋"/>
          <w:b/>
          <w:bCs/>
          <w:color w:val="auto"/>
          <w:sz w:val="24"/>
          <w:szCs w:val="24"/>
          <w:highlight w:val="none"/>
        </w:rPr>
        <w:t>固定总价包干</w:t>
      </w:r>
      <w:r>
        <w:rPr>
          <w:rFonts w:hint="eastAsia" w:ascii="仿宋" w:hAnsi="仿宋" w:eastAsia="仿宋" w:cs="仿宋"/>
          <w:b/>
          <w:bCs/>
          <w:color w:val="auto"/>
          <w:sz w:val="24"/>
          <w:szCs w:val="24"/>
          <w:highlight w:val="none"/>
          <w:lang w:val="zh-CN"/>
        </w:rPr>
        <w:t>。</w:t>
      </w:r>
      <w:r>
        <w:rPr>
          <w:rFonts w:hint="eastAsia" w:ascii="仿宋" w:hAnsi="仿宋" w:eastAsia="仿宋" w:cs="仿宋"/>
          <w:b w:val="0"/>
          <w:bCs w:val="0"/>
          <w:color w:val="auto"/>
          <w:sz w:val="24"/>
          <w:highlight w:val="none"/>
        </w:rPr>
        <w:t>本项目报价表上的价格为含税报价，</w:t>
      </w:r>
      <w:r>
        <w:rPr>
          <w:rFonts w:hint="eastAsia" w:ascii="仿宋" w:hAnsi="仿宋" w:eastAsia="仿宋" w:cs="仿宋"/>
          <w:b w:val="0"/>
          <w:bCs w:val="0"/>
          <w:color w:val="auto"/>
          <w:sz w:val="24"/>
          <w:highlight w:val="none"/>
          <w:lang w:val="en-US" w:eastAsia="zh-CN"/>
        </w:rPr>
        <w:t>报价总价应包括招标文件所确定的采购范围内相应服务的各项应有费用，以及为完成该项服务项目所涉及到的一切相关费用，</w:t>
      </w:r>
      <w:r>
        <w:rPr>
          <w:rFonts w:hint="eastAsia" w:ascii="仿宋" w:hAnsi="仿宋" w:eastAsia="仿宋" w:cs="仿宋"/>
          <w:b w:val="0"/>
          <w:bCs w:val="0"/>
          <w:color w:val="auto"/>
          <w:sz w:val="24"/>
          <w:szCs w:val="24"/>
          <w:highlight w:val="none"/>
          <w:lang w:val="en-US" w:eastAsia="zh-CN"/>
        </w:rPr>
        <w:t>包括但不限于</w:t>
      </w:r>
      <w:r>
        <w:rPr>
          <w:rFonts w:hint="eastAsia" w:ascii="仿宋" w:hAnsi="仿宋" w:eastAsia="仿宋" w:cs="仿宋"/>
          <w:b w:val="0"/>
          <w:bCs w:val="0"/>
          <w:color w:val="auto"/>
          <w:sz w:val="24"/>
          <w:highlight w:val="none"/>
          <w:lang w:val="en-US" w:eastAsia="zh-CN"/>
        </w:rPr>
        <w:t>员工费用和管理人员费用、离职补偿金、保险、</w:t>
      </w:r>
      <w:r>
        <w:rPr>
          <w:rFonts w:hint="eastAsia" w:ascii="仿宋" w:hAnsi="仿宋" w:eastAsia="仿宋" w:cs="仿宋"/>
          <w:b w:val="0"/>
          <w:bCs w:val="0"/>
          <w:color w:val="auto"/>
          <w:sz w:val="24"/>
          <w:szCs w:val="24"/>
          <w:highlight w:val="none"/>
          <w:lang w:val="en-US" w:eastAsia="zh-CN"/>
        </w:rPr>
        <w:t>维修费、检测费、</w:t>
      </w:r>
      <w:r>
        <w:rPr>
          <w:rFonts w:hint="eastAsia" w:ascii="仿宋" w:hAnsi="仿宋" w:eastAsia="仿宋" w:cs="仿宋"/>
          <w:b w:val="0"/>
          <w:bCs w:val="0"/>
          <w:color w:val="auto"/>
          <w:sz w:val="24"/>
          <w:highlight w:val="none"/>
          <w:lang w:val="en-US" w:eastAsia="zh-CN"/>
        </w:rPr>
        <w:t>管理费、培训费、</w:t>
      </w:r>
      <w:r>
        <w:rPr>
          <w:rFonts w:hint="eastAsia" w:ascii="仿宋" w:hAnsi="仿宋" w:eastAsia="仿宋" w:cs="仿宋"/>
          <w:b w:val="0"/>
          <w:bCs w:val="0"/>
          <w:color w:val="auto"/>
          <w:sz w:val="24"/>
          <w:szCs w:val="24"/>
          <w:highlight w:val="none"/>
          <w:lang w:val="en-US" w:eastAsia="zh-CN"/>
        </w:rPr>
        <w:t>环境布置、宣传服务、</w:t>
      </w:r>
      <w:r>
        <w:rPr>
          <w:rFonts w:hint="eastAsia" w:ascii="仿宋" w:hAnsi="仿宋" w:eastAsia="仿宋" w:cs="仿宋"/>
          <w:b w:val="0"/>
          <w:bCs w:val="0"/>
          <w:color w:val="auto"/>
          <w:sz w:val="24"/>
          <w:highlight w:val="none"/>
          <w:lang w:val="en-US" w:eastAsia="zh-CN"/>
        </w:rPr>
        <w:t>各类加班费（法定节假日等）、值班费、岗位补贴、高温补贴、员工福利、利润、设备、工具、消耗品、体检费、工会费、维护修理、折旧、各种税费、政策性文件规定及项目明示或暗示的所有风险、责任、义务等各项应有的费用。上述未列明，但投标人认为所需的其他费用也包含在内，招标人不接受投标人任何因遗漏报价而发生的费用追加。投标人应考虑合同期内的物价、政策等所有风险因素，在投标时自行预测并纳入投标总价中。合同期内若涉及本地区最低工资、社保缴费基数等上调，涉及到工资差额、固定岗位工资差额、假日工资差额、社保差额部分等均由投标人承担。项目中标总价一经确定，服务期内不调整。</w:t>
      </w:r>
    </w:p>
    <w:p w14:paraId="053375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2、投标人报价时应充分考虑所有可能影响到报价的价格因素，一旦招标结束最终成交，总价将包定，如发生漏、缺、少项，都将被认为是中标人的报价让利行为，损失自负。</w:t>
      </w:r>
    </w:p>
    <w:p w14:paraId="4CECB6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物业管理人员个人用于劳动、清洁用品用具、清洁所需辅助器械如梯子等由中标人购置并承担费用，所有用于物业管理及反恐小组使用的对讲机、橡胶警棍、强光照明灯、电筒、哨子。保安、车库管理、反光背心等由中标人购置并承担费用；物业责任险等其他商业保险均由中标人自己决定购置与否并自行承担费用；</w:t>
      </w:r>
    </w:p>
    <w:p w14:paraId="13B72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4、投标人自行解决员工养老、失业、医疗、工伤、纳税等保险及劳保、工资、福利、食宿、交通等有关问题。</w:t>
      </w:r>
    </w:p>
    <w:p w14:paraId="18571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5、投标人所用人员必须按照相关劳动法律法规的规定执行，如遇到工资纠纷问题由投标人自行解决。</w:t>
      </w:r>
    </w:p>
    <w:p w14:paraId="71221C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投标人须按有关规定参加常州市企业职工社会保险。报价时必须核算企业为本项目员工缴纳职工社会保险的费用（按相关规定可不缴纳社保的除外），未核算入报价的，视为无效投标。中标人在正式进场后，须提供从业人员名单、劳动合同以及社保证明资料报招标人核查；服务过程中，中标人如未按要求为员工缴纳职工社保及按实支付相关合理费用的，招标人可扣除服务费用，情节严重的视作中标人违约并有权利解除合同；</w:t>
      </w:r>
    </w:p>
    <w:p w14:paraId="7EE9D6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如出现中标人自身管理或沟通不利使员工通过各类渠道或以其他方式对招标人的声誉造成不利影响，以及因中标人服务质量或员工素质等原因有损招标人的社会公众形象、口碑等情况，中标人必须第一时间负责将不利影响降到最低并及时妥善处理，同时承担由此造成的声誉损失后果。招标人保留从经济、法律或其他形式向中标人追究责任的权利。</w:t>
      </w:r>
    </w:p>
    <w:p w14:paraId="635CD8A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0"/>
          <w:sz w:val="24"/>
          <w:szCs w:val="24"/>
          <w:highlight w:val="none"/>
        </w:rPr>
      </w:pPr>
      <w:r>
        <w:rPr>
          <w:rFonts w:hint="eastAsia" w:ascii="仿宋" w:hAnsi="仿宋" w:eastAsia="仿宋" w:cs="仿宋"/>
          <w:color w:val="auto"/>
          <w:sz w:val="24"/>
          <w:szCs w:val="24"/>
          <w:highlight w:val="none"/>
          <w:lang w:val="en-US" w:eastAsia="zh-CN"/>
        </w:rPr>
        <w:t>8、中标人擅自将服务合同转包、分包给第三人的或委托其他单位经营管理的，以及中标人违反法律法规、规章或其他相关规范性文件的规定，影响合同履行的，招标人有权无条件终止本项目合同而无须向中标人支付任何费用或承担其他任何责任，由此产生的经济损失和法律责任均由中标人承担。</w:t>
      </w:r>
    </w:p>
    <w:p w14:paraId="72735D42">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default"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八、预算金额、最高限价</w:t>
      </w:r>
    </w:p>
    <w:p w14:paraId="7A45E930">
      <w:pPr>
        <w:widowControl/>
        <w:spacing w:line="360" w:lineRule="auto"/>
        <w:ind w:firstLine="480" w:firstLineChars="200"/>
        <w:rPr>
          <w:rStyle w:val="5"/>
          <w:rFonts w:hint="eastAsia" w:ascii="仿宋" w:hAnsi="仿宋" w:eastAsia="仿宋" w:cs="仿宋"/>
          <w:b w:val="0"/>
          <w:bCs w:val="0"/>
          <w:color w:val="auto"/>
          <w:sz w:val="24"/>
          <w:szCs w:val="24"/>
          <w:highlight w:val="none"/>
          <w:lang w:val="en-US" w:eastAsia="zh-CN"/>
        </w:rPr>
      </w:pPr>
      <w:r>
        <w:rPr>
          <w:rStyle w:val="5"/>
          <w:rFonts w:hint="eastAsia" w:ascii="仿宋" w:hAnsi="仿宋" w:eastAsia="仿宋" w:cs="仿宋"/>
          <w:b w:val="0"/>
          <w:bCs w:val="0"/>
          <w:color w:val="auto"/>
          <w:sz w:val="24"/>
          <w:szCs w:val="24"/>
          <w:highlight w:val="none"/>
        </w:rPr>
        <w:t>预算金额：</w:t>
      </w:r>
      <w:r>
        <w:rPr>
          <w:rStyle w:val="5"/>
          <w:rFonts w:hint="eastAsia" w:ascii="仿宋" w:hAnsi="仿宋" w:eastAsia="仿宋" w:cs="仿宋"/>
          <w:b w:val="0"/>
          <w:bCs w:val="0"/>
          <w:color w:val="auto"/>
          <w:sz w:val="24"/>
          <w:szCs w:val="24"/>
          <w:highlight w:val="none"/>
          <w:lang w:val="en-US" w:eastAsia="zh-CN"/>
        </w:rPr>
        <w:t>人民币617053.92元/年</w:t>
      </w:r>
    </w:p>
    <w:p w14:paraId="41A035DB">
      <w:pPr>
        <w:widowControl/>
        <w:spacing w:line="360" w:lineRule="auto"/>
        <w:ind w:firstLine="480" w:firstLineChars="200"/>
        <w:rPr>
          <w:rStyle w:val="5"/>
          <w:rFonts w:hint="eastAsia" w:ascii="仿宋" w:hAnsi="仿宋" w:eastAsia="仿宋" w:cs="仿宋"/>
          <w:b w:val="0"/>
          <w:bCs w:val="0"/>
          <w:color w:val="auto"/>
          <w:sz w:val="24"/>
          <w:szCs w:val="24"/>
          <w:highlight w:val="none"/>
        </w:rPr>
      </w:pPr>
      <w:r>
        <w:rPr>
          <w:rStyle w:val="5"/>
          <w:rFonts w:hint="eastAsia" w:ascii="仿宋" w:hAnsi="仿宋" w:eastAsia="仿宋" w:cs="仿宋"/>
          <w:b w:val="0"/>
          <w:bCs w:val="0"/>
          <w:color w:val="auto"/>
          <w:sz w:val="24"/>
          <w:szCs w:val="24"/>
          <w:highlight w:val="none"/>
        </w:rPr>
        <w:t>最高限价：</w:t>
      </w:r>
      <w:r>
        <w:rPr>
          <w:rStyle w:val="5"/>
          <w:rFonts w:hint="eastAsia" w:ascii="仿宋" w:hAnsi="仿宋" w:eastAsia="仿宋" w:cs="仿宋"/>
          <w:b w:val="0"/>
          <w:bCs w:val="0"/>
          <w:color w:val="auto"/>
          <w:sz w:val="24"/>
          <w:szCs w:val="24"/>
          <w:highlight w:val="none"/>
          <w:lang w:val="en-US" w:eastAsia="zh-CN"/>
        </w:rPr>
        <w:t>人民币617053.92元/年；</w:t>
      </w:r>
      <w:r>
        <w:rPr>
          <w:rStyle w:val="5"/>
          <w:rFonts w:hint="eastAsia" w:ascii="仿宋" w:hAnsi="仿宋" w:eastAsia="仿宋" w:cs="仿宋"/>
          <w:b w:val="0"/>
          <w:bCs w:val="0"/>
          <w:color w:val="auto"/>
          <w:sz w:val="24"/>
          <w:szCs w:val="24"/>
          <w:highlight w:val="none"/>
        </w:rPr>
        <w:t>投标人投标报价不得高于最高限价，否则作为无效投标处理。</w:t>
      </w:r>
    </w:p>
    <w:p w14:paraId="183AF69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53F14"/>
    <w:rsid w:val="0FF5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2026-08-26T08:43:00Z</dcterms:created>
  <dc:creator>沙昊锴</dc:creator>
  <cp:lastModifiedBy>沙昊锴</cp:lastModifiedBy>
  <dcterms:modified xsi:type="dcterms:W3CDTF">2026-08-26T08:52:30Z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E0AC0BBBA29045E4BB235C3820BC871F_11</vt:lpwstr>
  </property>
  <property fmtid="{D5CDD505-2E9C-101B-9397-08002B2CF9AE}" pid="4" name="KSOTemplateDocerSaveRecord">
    <vt:lpwstr>eyJoZGlkIjoiN2ZmNGE4YWMzODYxY2YxYTdiMmIxMmJhOTI0NWYxY2YiLCJ1c2VySWQiOiIxMTk5MjAwMDEwIn0=</vt:lpwstr>
  </property>
</Properties>
</file>