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E03BD">
      <w:pPr>
        <w:snapToGrid w:val="0"/>
        <w:spacing w:line="360" w:lineRule="auto"/>
        <w:rPr>
          <w:rFonts w:hint="eastAsia" w:ascii="仿宋" w:hAnsi="仿宋" w:eastAsia="仿宋" w:cs="仿宋"/>
          <w:b/>
          <w:bCs/>
          <w:color w:val="auto"/>
          <w:sz w:val="32"/>
          <w:szCs w:val="32"/>
          <w:highlight w:val="none"/>
        </w:rPr>
      </w:pPr>
      <w:bookmarkStart w:id="0" w:name="OLE_LINK2"/>
      <w:r>
        <w:rPr>
          <w:rFonts w:hint="eastAsia" w:ascii="仿宋" w:hAnsi="仿宋" w:eastAsia="仿宋" w:cs="仿宋"/>
          <w:b/>
          <w:bCs/>
          <w:color w:val="auto"/>
          <w:sz w:val="32"/>
          <w:szCs w:val="32"/>
          <w:highlight w:val="none"/>
        </w:rPr>
        <w:t>一、项目概况</w:t>
      </w:r>
    </w:p>
    <w:p w14:paraId="7602FEFF">
      <w:pPr>
        <w:widowControl/>
        <w:snapToGrid/>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本项目为</w:t>
      </w:r>
      <w:r>
        <w:rPr>
          <w:rFonts w:hint="eastAsia" w:ascii="仿宋" w:hAnsi="仿宋" w:eastAsia="仿宋" w:cs="仿宋"/>
          <w:color w:val="auto"/>
          <w:sz w:val="24"/>
          <w:szCs w:val="24"/>
          <w:highlight w:val="none"/>
          <w:lang w:eastAsia="zh-CN"/>
        </w:rPr>
        <w:t>新新村门前屋后、农田等违章搭建、家禽家畜、乱停车整治项目，</w:t>
      </w:r>
      <w:r>
        <w:rPr>
          <w:rFonts w:hint="eastAsia" w:ascii="仿宋" w:hAnsi="仿宋" w:eastAsia="仿宋" w:cs="仿宋"/>
          <w:color w:val="auto"/>
          <w:kern w:val="0"/>
          <w:sz w:val="24"/>
          <w:szCs w:val="24"/>
          <w:highlight w:val="none"/>
        </w:rPr>
        <w:t>项目主要内容包括：对何家塘、徐家塘、河湾村、田家塘、金家塘、徐祥湾、顾家塘、刘家塘、孙家塘、前袁家塘、</w:t>
      </w:r>
      <w:r>
        <w:rPr>
          <w:rFonts w:hint="eastAsia" w:ascii="仿宋" w:hAnsi="仿宋" w:eastAsia="仿宋" w:cs="仿宋"/>
          <w:color w:val="auto"/>
          <w:kern w:val="0"/>
          <w:sz w:val="24"/>
          <w:szCs w:val="24"/>
          <w:highlight w:val="none"/>
          <w:u w:val="none"/>
        </w:rPr>
        <w:t>毛浦</w:t>
      </w:r>
      <w:r>
        <w:rPr>
          <w:rFonts w:hint="eastAsia" w:ascii="仿宋" w:hAnsi="仿宋" w:eastAsia="仿宋" w:cs="仿宋"/>
          <w:color w:val="auto"/>
          <w:kern w:val="0"/>
          <w:sz w:val="24"/>
          <w:szCs w:val="24"/>
          <w:highlight w:val="none"/>
          <w:u w:val="none"/>
          <w:lang w:eastAsia="zh-CN"/>
        </w:rPr>
        <w:t>等约</w:t>
      </w:r>
      <w:r>
        <w:rPr>
          <w:rFonts w:hint="eastAsia" w:ascii="仿宋" w:hAnsi="仿宋" w:eastAsia="仿宋" w:cs="仿宋"/>
          <w:color w:val="auto"/>
          <w:kern w:val="0"/>
          <w:sz w:val="24"/>
          <w:szCs w:val="24"/>
          <w:highlight w:val="none"/>
          <w:u w:val="none"/>
          <w:lang w:val="en-US" w:eastAsia="zh-CN"/>
        </w:rPr>
        <w:t>310亩农田</w:t>
      </w:r>
      <w:r>
        <w:rPr>
          <w:rFonts w:hint="eastAsia" w:ascii="仿宋" w:hAnsi="仿宋" w:eastAsia="仿宋" w:cs="仿宋"/>
          <w:color w:val="auto"/>
          <w:kern w:val="2"/>
          <w:sz w:val="24"/>
          <w:szCs w:val="24"/>
          <w:highlight w:val="none"/>
          <w:u w:val="none"/>
          <w:lang w:val="en-US" w:eastAsia="zh-CN"/>
        </w:rPr>
        <w:t>提供</w:t>
      </w:r>
      <w:r>
        <w:rPr>
          <w:rFonts w:hint="eastAsia" w:ascii="仿宋" w:hAnsi="仿宋" w:eastAsia="仿宋" w:cs="仿宋"/>
          <w:color w:val="auto"/>
          <w:sz w:val="24"/>
          <w:szCs w:val="24"/>
          <w:highlight w:val="none"/>
          <w:u w:val="none"/>
          <w:lang w:eastAsia="zh-CN"/>
        </w:rPr>
        <w:t>门前屋后、农田等违章搭建、家禽家畜、乱停车整治</w:t>
      </w:r>
      <w:r>
        <w:rPr>
          <w:rFonts w:hint="eastAsia" w:ascii="仿宋" w:hAnsi="仿宋" w:eastAsia="仿宋" w:cs="仿宋"/>
          <w:color w:val="auto"/>
          <w:kern w:val="0"/>
          <w:sz w:val="24"/>
          <w:szCs w:val="24"/>
          <w:highlight w:val="none"/>
          <w:u w:val="none"/>
        </w:rPr>
        <w:t>等服务</w:t>
      </w:r>
      <w:r>
        <w:rPr>
          <w:rFonts w:hint="eastAsia" w:ascii="仿宋" w:hAnsi="仿宋" w:eastAsia="仿宋" w:cs="仿宋"/>
          <w:color w:val="auto"/>
          <w:kern w:val="0"/>
          <w:sz w:val="24"/>
          <w:szCs w:val="24"/>
          <w:highlight w:val="none"/>
          <w:u w:val="none"/>
          <w:lang w:eastAsia="zh-CN"/>
        </w:rPr>
        <w:t>。</w:t>
      </w:r>
      <w:r>
        <w:rPr>
          <w:rFonts w:hint="eastAsia" w:ascii="仿宋" w:hAnsi="仿宋" w:eastAsia="仿宋" w:cs="仿宋"/>
          <w:color w:val="auto"/>
          <w:sz w:val="24"/>
          <w:szCs w:val="24"/>
          <w:highlight w:val="none"/>
          <w:u w:val="none"/>
        </w:rPr>
        <w:t xml:space="preserve"> </w:t>
      </w:r>
    </w:p>
    <w:bookmarkEnd w:id="0"/>
    <w:p w14:paraId="61EC8815">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二、服务期限</w:t>
      </w:r>
    </w:p>
    <w:p w14:paraId="3230CDC7">
      <w:pPr>
        <w:snapToGrid w:val="0"/>
        <w:spacing w:line="360" w:lineRule="auto"/>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u w:val="none"/>
          <w:lang w:val="en-US" w:eastAsia="zh-CN"/>
        </w:rPr>
        <w:t>自合同签订之日起至2026年12月31日。</w:t>
      </w:r>
    </w:p>
    <w:p w14:paraId="0B2DF1F4">
      <w:pPr>
        <w:snapToGrid w:val="0"/>
        <w:spacing w:line="360" w:lineRule="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32"/>
          <w:szCs w:val="32"/>
          <w:highlight w:val="none"/>
        </w:rPr>
        <w:t>三、服务</w:t>
      </w:r>
      <w:r>
        <w:rPr>
          <w:rFonts w:hint="eastAsia" w:ascii="仿宋" w:hAnsi="仿宋" w:eastAsia="仿宋" w:cs="仿宋"/>
          <w:b/>
          <w:bCs/>
          <w:color w:val="auto"/>
          <w:sz w:val="32"/>
          <w:szCs w:val="32"/>
          <w:highlight w:val="none"/>
          <w:lang w:val="en-US" w:eastAsia="zh-CN"/>
        </w:rPr>
        <w:t>范围</w:t>
      </w:r>
    </w:p>
    <w:p w14:paraId="4E1EAB57">
      <w:pPr>
        <w:snapToGrid w:val="0"/>
        <w:spacing w:line="360" w:lineRule="auto"/>
        <w:ind w:firstLine="480" w:firstLineChars="200"/>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rPr>
        <w:t>何家塘、徐家塘、河湾村、田家塘、金家塘、徐祥湾、顾家塘、刘家塘、孙家塘、前袁家塘、毛浦</w:t>
      </w:r>
      <w:r>
        <w:rPr>
          <w:rFonts w:hint="eastAsia" w:ascii="仿宋" w:hAnsi="仿宋" w:eastAsia="仿宋" w:cs="仿宋"/>
          <w:color w:val="auto"/>
          <w:kern w:val="0"/>
          <w:sz w:val="24"/>
          <w:szCs w:val="24"/>
          <w:highlight w:val="none"/>
          <w:lang w:eastAsia="zh-CN"/>
        </w:rPr>
        <w:t>等约</w:t>
      </w:r>
      <w:r>
        <w:rPr>
          <w:rFonts w:hint="eastAsia" w:ascii="仿宋" w:hAnsi="仿宋" w:eastAsia="仿宋" w:cs="仿宋"/>
          <w:color w:val="auto"/>
          <w:kern w:val="0"/>
          <w:sz w:val="24"/>
          <w:szCs w:val="24"/>
          <w:highlight w:val="none"/>
          <w:lang w:val="en-US" w:eastAsia="zh-CN"/>
        </w:rPr>
        <w:t>310亩农田范围。</w:t>
      </w:r>
    </w:p>
    <w:p w14:paraId="3A1229D7">
      <w:pPr>
        <w:snapToGrid w:val="0"/>
        <w:spacing w:line="360" w:lineRule="auto"/>
        <w:ind w:firstLine="0" w:firstLineChars="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四、服务内容及要求</w:t>
      </w:r>
    </w:p>
    <w:p w14:paraId="0DE181FF">
      <w:pPr>
        <w:snapToGrid w:val="0"/>
        <w:spacing w:before="0" w:after="0" w:line="360" w:lineRule="auto"/>
        <w:ind w:left="0"/>
        <w:jc w:val="left"/>
        <w:outlineLvl w:val="9"/>
        <w:rPr>
          <w:rFonts w:hint="eastAsia" w:ascii="仿宋" w:hAnsi="仿宋" w:eastAsia="仿宋" w:cs="仿宋"/>
          <w:b/>
          <w:bCs/>
          <w:color w:val="auto"/>
          <w:sz w:val="24"/>
          <w:highlight w:val="none"/>
        </w:rPr>
      </w:pPr>
      <w:bookmarkStart w:id="1" w:name="heading_23"/>
      <w:r>
        <w:rPr>
          <w:rFonts w:hint="eastAsia" w:ascii="仿宋" w:hAnsi="仿宋" w:eastAsia="仿宋" w:cs="仿宋"/>
          <w:b/>
          <w:bCs/>
          <w:color w:val="auto"/>
          <w:sz w:val="24"/>
          <w:highlight w:val="none"/>
        </w:rPr>
        <w:t>（一）门前屋后、农田区域违章搭建及乱堆乱放整治</w:t>
      </w:r>
      <w:bookmarkEnd w:id="1"/>
    </w:p>
    <w:p w14:paraId="3EE8A4BD">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全域排查：对辖区所有村民房前屋后、庭院内外、村组道路两侧、农田地块、沟渠岸边、公共空地开展常态化排查，全面排查违规搭建的棚屋、围栏、杂物房、养殖棚、临时违建构筑物，以及农田内违规搭建、违规占地、乱堆建材、秸秆、杂物、垃圾等问题。</w:t>
      </w:r>
    </w:p>
    <w:p w14:paraId="5BA5343D">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劝导整改：对排查发现的轻微违建、乱堆乱放问题，第一时间上门劝导户主自行清理整改，做好政策宣讲、台账登记、影像留存；对拒不整改、违规搭建的重难点问题，及时上报采购人，配合开展集中整治、依法整改工作。</w:t>
      </w:r>
    </w:p>
    <w:p w14:paraId="7574B0F3">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清理整治：对无主杂物、废弃违建、废弃棚舍、农田乱堆杂物、路边堆积垃圾等，统一开展清理、拆除、清运、平整作业，做到清理彻底、场地整洁、无残留杂物。</w:t>
      </w:r>
    </w:p>
    <w:p w14:paraId="4A00B67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长效管控：定期巡查回头看，严防违建反弹、杂物复堆，建立问题台账，实现一户一档、一处一档，动态更新、闭环销号。</w:t>
      </w:r>
    </w:p>
    <w:p w14:paraId="1B7EF3AF">
      <w:pPr>
        <w:snapToGrid w:val="0"/>
        <w:spacing w:before="0" w:after="0" w:line="360" w:lineRule="auto"/>
        <w:ind w:left="0"/>
        <w:jc w:val="left"/>
        <w:outlineLvl w:val="9"/>
        <w:rPr>
          <w:rFonts w:hint="eastAsia" w:ascii="仿宋" w:hAnsi="仿宋" w:eastAsia="仿宋" w:cs="仿宋"/>
          <w:b/>
          <w:bCs/>
          <w:color w:val="auto"/>
          <w:sz w:val="24"/>
          <w:highlight w:val="none"/>
        </w:rPr>
      </w:pPr>
      <w:bookmarkStart w:id="2" w:name="heading_24"/>
      <w:r>
        <w:rPr>
          <w:rFonts w:hint="eastAsia" w:ascii="仿宋" w:hAnsi="仿宋" w:eastAsia="仿宋" w:cs="仿宋"/>
          <w:b/>
          <w:bCs/>
          <w:color w:val="auto"/>
          <w:sz w:val="24"/>
          <w:highlight w:val="none"/>
        </w:rPr>
        <w:t>（二）家禽家畜散养乱象专项整治</w:t>
      </w:r>
      <w:bookmarkEnd w:id="2"/>
    </w:p>
    <w:p w14:paraId="2B57243A">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规范管控：针对辖区鸡鸭鹅、猪牛羊等家禽家畜散养、放养、乱拴乱养问题，开展常态化巡查劝导，引导农户实行圈养、定点养殖，杜绝沿街、沿路、农田、公共区域散养。</w:t>
      </w:r>
    </w:p>
    <w:p w14:paraId="2C10ECAA">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环境清理：及时清理家禽家畜粪便、废弃养殖杂物、养殖垃圾，消除异味污染、蚊虫滋生、路面污染等问题，保持村庄及农田周边环境干净整洁。</w:t>
      </w:r>
    </w:p>
    <w:p w14:paraId="0F7912BD">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乱象整治：对长期散养、屡劝不改、影响村容及通行的养殖乱象，上报采购人并配合开展专项整治，规范养殖秩序。</w:t>
      </w:r>
    </w:p>
    <w:p w14:paraId="79C0ABB9">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宣传引导：配合开展人居环境宣传，普及规范养殖、环境卫生整治相关要求，提升村民自觉维护环境意识。</w:t>
      </w:r>
    </w:p>
    <w:p w14:paraId="3887F681">
      <w:pPr>
        <w:snapToGrid w:val="0"/>
        <w:spacing w:before="0" w:after="0" w:line="360" w:lineRule="auto"/>
        <w:ind w:left="0"/>
        <w:jc w:val="left"/>
        <w:outlineLvl w:val="9"/>
        <w:rPr>
          <w:rFonts w:hint="eastAsia" w:ascii="仿宋" w:hAnsi="仿宋" w:eastAsia="仿宋" w:cs="仿宋"/>
          <w:b/>
          <w:bCs/>
          <w:color w:val="auto"/>
          <w:sz w:val="24"/>
          <w:highlight w:val="none"/>
        </w:rPr>
      </w:pPr>
      <w:bookmarkStart w:id="3" w:name="heading_25"/>
      <w:r>
        <w:rPr>
          <w:rFonts w:hint="eastAsia" w:ascii="仿宋" w:hAnsi="仿宋" w:eastAsia="仿宋" w:cs="仿宋"/>
          <w:b/>
          <w:bCs/>
          <w:color w:val="auto"/>
          <w:sz w:val="24"/>
          <w:highlight w:val="none"/>
        </w:rPr>
        <w:t>（三）全域乱停车秩序整治</w:t>
      </w:r>
      <w:bookmarkEnd w:id="3"/>
    </w:p>
    <w:p w14:paraId="7BEE2392">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秩序管控：对村组主干道、入户道路、公共场地、农田便道、消防通道等区域机动车、非机动车乱停乱放、占道停车、</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僵尸车</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堵塞通道等问题开展常态化整治。</w:t>
      </w:r>
    </w:p>
    <w:p w14:paraId="02EBA1AB">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劝导疏导：对违规停车车主现场劝导、文明引导，告知停车规范要求，引导车辆有序停放，及时疏通堵塞路段。</w:t>
      </w:r>
    </w:p>
    <w:p w14:paraId="64A5ABD5">
      <w:pPr>
        <w:snapToGrid w:val="0"/>
        <w:spacing w:before="0"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隐患排查：重点排查消防通道、主干道、村口路口违规停车隐患，及时整改处置，保障通行安全。</w:t>
      </w:r>
    </w:p>
    <w:p w14:paraId="72892D5D">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长效管理：常态化巡逻管控，高峰期重点值守，杜绝长期占道停车、无序停车现象，维护村庄公共通行秩序。</w:t>
      </w:r>
    </w:p>
    <w:p w14:paraId="17CAAB88">
      <w:pPr>
        <w:snapToGrid w:val="0"/>
        <w:spacing w:line="360" w:lineRule="auto"/>
        <w:ind w:firstLine="0" w:firstLineChars="0"/>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32"/>
          <w:szCs w:val="32"/>
          <w:highlight w:val="none"/>
          <w:lang w:val="en-US" w:eastAsia="zh-CN"/>
        </w:rPr>
        <w:t>五、</w:t>
      </w:r>
      <w:r>
        <w:rPr>
          <w:rFonts w:ascii="仿宋" w:hAnsi="仿宋" w:eastAsia="仿宋" w:cs="仿宋"/>
          <w:b/>
          <w:bCs/>
          <w:color w:val="auto"/>
          <w:sz w:val="32"/>
          <w:szCs w:val="32"/>
          <w:highlight w:val="none"/>
        </w:rPr>
        <w:t>服务质量标准</w:t>
      </w:r>
    </w:p>
    <w:p w14:paraId="5FC0C1C8">
      <w:pPr>
        <w:snapToGrid w:val="0"/>
        <w:spacing w:before="0" w:after="0" w:line="360" w:lineRule="auto"/>
        <w:ind w:left="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w:t>
      </w:r>
      <w:r>
        <w:rPr>
          <w:rFonts w:ascii="仿宋" w:hAnsi="仿宋" w:eastAsia="仿宋" w:cs="仿宋"/>
          <w:color w:val="auto"/>
          <w:sz w:val="24"/>
          <w:highlight w:val="none"/>
        </w:rPr>
        <w:t>违建、乱堆乱放问题发现一处、整改一处、销号一处，全域无新增违规搭建、无大面积杂物堆积。</w:t>
      </w:r>
    </w:p>
    <w:p w14:paraId="16A83E6E">
      <w:pPr>
        <w:snapToGrid w:val="0"/>
        <w:spacing w:before="0" w:after="0" w:line="360" w:lineRule="auto"/>
        <w:ind w:left="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ascii="仿宋" w:hAnsi="仿宋" w:eastAsia="仿宋" w:cs="仿宋"/>
          <w:color w:val="auto"/>
          <w:sz w:val="24"/>
          <w:highlight w:val="none"/>
        </w:rPr>
        <w:t>全域基本实现家禽家畜规范圈养，无沿街、沿路、农田大面积散养现象，养殖环境干净整洁。</w:t>
      </w:r>
    </w:p>
    <w:p w14:paraId="37BA884E">
      <w:pPr>
        <w:snapToGrid w:val="0"/>
        <w:spacing w:before="0" w:after="0" w:line="360" w:lineRule="auto"/>
        <w:ind w:left="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w:t>
      </w:r>
      <w:r>
        <w:rPr>
          <w:rFonts w:ascii="仿宋" w:hAnsi="仿宋" w:eastAsia="仿宋" w:cs="仿宋"/>
          <w:color w:val="auto"/>
          <w:sz w:val="24"/>
          <w:highlight w:val="none"/>
        </w:rPr>
        <w:t>村庄主干道、公共区域无长期乱停乱放车辆，道路畅通、秩序规范，无占道堵塞隐患。</w:t>
      </w:r>
    </w:p>
    <w:p w14:paraId="6B0CB806">
      <w:pPr>
        <w:snapToGrid w:val="0"/>
        <w:spacing w:before="0" w:after="0" w:line="360" w:lineRule="auto"/>
        <w:ind w:left="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ascii="仿宋" w:hAnsi="仿宋" w:eastAsia="仿宋" w:cs="仿宋"/>
          <w:color w:val="auto"/>
          <w:sz w:val="24"/>
          <w:highlight w:val="none"/>
        </w:rPr>
        <w:t>台账资料完整、影像留存齐全，整改闭环到位，顺利通过各级各类人居环境考核验收。</w:t>
      </w:r>
    </w:p>
    <w:p w14:paraId="035A6727">
      <w:pPr>
        <w:numPr>
          <w:ilvl w:val="0"/>
          <w:numId w:val="0"/>
        </w:numPr>
        <w:snapToGrid w:val="0"/>
        <w:spacing w:line="360" w:lineRule="auto"/>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六、人员、设备要求</w:t>
      </w:r>
    </w:p>
    <w:p w14:paraId="086F2391">
      <w:pPr>
        <w:snapToGrid w:val="0"/>
        <w:spacing w:before="0" w:after="0" w:line="360" w:lineRule="auto"/>
        <w:ind w:left="0" w:firstLine="480" w:firstLineChars="200"/>
        <w:jc w:val="left"/>
        <w:rPr>
          <w:rFonts w:ascii="仿宋" w:hAnsi="仿宋" w:eastAsia="仿宋" w:cs="仿宋"/>
          <w:color w:val="auto"/>
          <w:sz w:val="24"/>
          <w:highlight w:val="none"/>
        </w:rPr>
      </w:pPr>
      <w:r>
        <w:rPr>
          <w:rFonts w:hint="default" w:ascii="仿宋" w:hAnsi="仿宋" w:eastAsia="仿宋" w:cs="仿宋"/>
          <w:color w:val="auto"/>
          <w:sz w:val="24"/>
          <w:highlight w:val="none"/>
          <w:lang w:eastAsia="zh-CN"/>
        </w:rPr>
        <w:t>1</w:t>
      </w:r>
      <w:r>
        <w:rPr>
          <w:rFonts w:hint="default" w:ascii="仿宋" w:hAnsi="仿宋" w:eastAsia="仿宋" w:cs="仿宋"/>
          <w:color w:val="auto"/>
          <w:sz w:val="24"/>
          <w:highlight w:val="none"/>
          <w:lang w:val="en-US" w:eastAsia="zh-CN"/>
        </w:rPr>
        <w:t>.</w:t>
      </w:r>
      <w:r>
        <w:rPr>
          <w:rFonts w:ascii="仿宋" w:hAnsi="仿宋" w:eastAsia="仿宋" w:cs="仿宋"/>
          <w:color w:val="auto"/>
          <w:sz w:val="24"/>
          <w:highlight w:val="none"/>
        </w:rPr>
        <w:t>配备专职项目负责人1名，全程统筹项目运营、对接采购人；配备专职巡查整治人员若干，保障日常巡查、劝导、整改工作常态化开展。</w:t>
      </w:r>
    </w:p>
    <w:p w14:paraId="2C931B23">
      <w:pPr>
        <w:snapToGrid w:val="0"/>
        <w:spacing w:before="0" w:after="0" w:line="360" w:lineRule="auto"/>
        <w:ind w:left="0" w:firstLine="480" w:firstLineChars="200"/>
        <w:jc w:val="left"/>
        <w:rPr>
          <w:rFonts w:ascii="仿宋" w:hAnsi="仿宋" w:eastAsia="仿宋" w:cs="仿宋"/>
          <w:color w:val="auto"/>
          <w:sz w:val="24"/>
          <w:highlight w:val="none"/>
        </w:rPr>
      </w:pPr>
      <w:r>
        <w:rPr>
          <w:rFonts w:hint="default" w:ascii="仿宋" w:hAnsi="仿宋" w:eastAsia="仿宋" w:cs="仿宋"/>
          <w:color w:val="auto"/>
          <w:sz w:val="24"/>
          <w:highlight w:val="none"/>
          <w:lang w:eastAsia="zh-CN"/>
        </w:rPr>
        <w:t>2</w:t>
      </w:r>
      <w:r>
        <w:rPr>
          <w:rFonts w:hint="default" w:ascii="仿宋" w:hAnsi="仿宋" w:eastAsia="仿宋" w:cs="仿宋"/>
          <w:color w:val="auto"/>
          <w:sz w:val="24"/>
          <w:highlight w:val="none"/>
          <w:lang w:val="en-US" w:eastAsia="zh-CN"/>
        </w:rPr>
        <w:t>.</w:t>
      </w:r>
      <w:r>
        <w:rPr>
          <w:rFonts w:ascii="仿宋" w:hAnsi="仿宋" w:eastAsia="仿宋" w:cs="仿宋"/>
          <w:color w:val="auto"/>
          <w:sz w:val="24"/>
          <w:highlight w:val="none"/>
        </w:rPr>
        <w:t>配备巡查车辆、垃圾清运设备、清理工具、防护装备等全套作业设备，满足日常整治作业需求。</w:t>
      </w:r>
    </w:p>
    <w:p w14:paraId="7E73E998">
      <w:pPr>
        <w:snapToGrid w:val="0"/>
        <w:spacing w:before="0" w:after="0" w:line="360" w:lineRule="auto"/>
        <w:ind w:left="0" w:firstLine="480" w:firstLineChars="200"/>
        <w:jc w:val="left"/>
        <w:rPr>
          <w:rFonts w:ascii="仿宋" w:hAnsi="仿宋" w:eastAsia="仿宋" w:cs="仿宋"/>
          <w:color w:val="auto"/>
          <w:sz w:val="24"/>
          <w:highlight w:val="none"/>
        </w:rPr>
      </w:pPr>
      <w:r>
        <w:rPr>
          <w:rFonts w:hint="default" w:ascii="仿宋" w:hAnsi="仿宋" w:eastAsia="仿宋" w:cs="仿宋"/>
          <w:color w:val="auto"/>
          <w:sz w:val="24"/>
          <w:highlight w:val="none"/>
          <w:lang w:eastAsia="zh-CN"/>
        </w:rPr>
        <w:t>3</w:t>
      </w:r>
      <w:r>
        <w:rPr>
          <w:rFonts w:hint="default" w:ascii="仿宋" w:hAnsi="仿宋" w:eastAsia="仿宋" w:cs="仿宋"/>
          <w:color w:val="auto"/>
          <w:sz w:val="24"/>
          <w:highlight w:val="none"/>
          <w:lang w:val="en-US" w:eastAsia="zh-CN"/>
        </w:rPr>
        <w:t>.</w:t>
      </w:r>
      <w:r>
        <w:rPr>
          <w:rFonts w:ascii="仿宋" w:hAnsi="仿宋" w:eastAsia="仿宋" w:cs="仿宋"/>
          <w:color w:val="auto"/>
          <w:sz w:val="24"/>
          <w:highlight w:val="none"/>
        </w:rPr>
        <w:t>所有作业人员着装规范、文明作业、文明劝导，无粗暴执法、违规作业行为。</w:t>
      </w:r>
    </w:p>
    <w:p w14:paraId="554D0936">
      <w:pPr>
        <w:snapToGrid w:val="0"/>
        <w:spacing w:before="0" w:after="0" w:line="360" w:lineRule="auto"/>
        <w:ind w:left="0" w:firstLine="480" w:firstLineChars="200"/>
        <w:jc w:val="left"/>
        <w:rPr>
          <w:rFonts w:hint="default" w:ascii="仿宋" w:hAnsi="仿宋" w:eastAsia="仿宋" w:cs="仿宋"/>
          <w:color w:val="auto"/>
          <w:sz w:val="24"/>
          <w:highlight w:val="none"/>
          <w:lang w:eastAsia="zh-CN"/>
        </w:rPr>
      </w:pPr>
      <w:r>
        <w:rPr>
          <w:rFonts w:hint="default" w:ascii="仿宋" w:hAnsi="仿宋" w:eastAsia="仿宋" w:cs="仿宋"/>
          <w:color w:val="auto"/>
          <w:sz w:val="24"/>
          <w:highlight w:val="none"/>
          <w:lang w:val="en-US" w:eastAsia="zh-CN"/>
        </w:rPr>
        <w:t>4.运用</w:t>
      </w:r>
      <w:r>
        <w:rPr>
          <w:rFonts w:hint="eastAsia" w:ascii="仿宋" w:hAnsi="仿宋" w:eastAsia="仿宋" w:cs="仿宋"/>
          <w:color w:val="auto"/>
          <w:sz w:val="24"/>
          <w:highlight w:val="none"/>
        </w:rPr>
        <w:t>三轮车短驳</w:t>
      </w:r>
      <w:r>
        <w:rPr>
          <w:rFonts w:hint="default" w:ascii="仿宋" w:hAnsi="仿宋" w:eastAsia="仿宋" w:cs="仿宋"/>
          <w:color w:val="auto"/>
          <w:sz w:val="24"/>
          <w:highlight w:val="none"/>
          <w:lang w:eastAsia="zh-CN"/>
        </w:rPr>
        <w:t>、人工垃圾清理等清理方式，高效、有序、及时的完成服务。</w:t>
      </w:r>
    </w:p>
    <w:p w14:paraId="5F7E5AFC">
      <w:pPr>
        <w:snapToGrid w:val="0"/>
        <w:spacing w:line="360" w:lineRule="auto"/>
        <w:rPr>
          <w:rStyle w:val="5"/>
          <w:rFonts w:ascii="宋体" w:hAnsi="宋体" w:cs="宋体"/>
          <w:b/>
          <w:bCs/>
          <w:color w:val="auto"/>
          <w:sz w:val="24"/>
          <w:szCs w:val="24"/>
          <w:highlight w:val="none"/>
        </w:rPr>
      </w:pPr>
      <w:r>
        <w:rPr>
          <w:rFonts w:hint="eastAsia" w:ascii="仿宋" w:hAnsi="仿宋" w:eastAsia="仿宋" w:cs="仿宋"/>
          <w:b/>
          <w:bCs/>
          <w:color w:val="auto"/>
          <w:sz w:val="32"/>
          <w:szCs w:val="32"/>
          <w:highlight w:val="none"/>
          <w:lang w:val="en-US" w:eastAsia="zh-CN"/>
        </w:rPr>
        <w:t>七、其他要求</w:t>
      </w:r>
    </w:p>
    <w:p w14:paraId="610CD3D8">
      <w:pPr>
        <w:pStyle w:val="2"/>
        <w:numPr>
          <w:ilvl w:val="0"/>
          <w:numId w:val="0"/>
        </w:numPr>
        <w:snapToGrid/>
        <w:spacing w:line="360" w:lineRule="auto"/>
        <w:ind w:firstLine="480"/>
        <w:jc w:val="left"/>
        <w:rPr>
          <w:rFonts w:ascii="仿宋" w:hAnsi="仿宋" w:eastAsia="仿宋" w:cs="仿宋"/>
          <w:bCs w:val="0"/>
          <w:color w:val="auto"/>
          <w:sz w:val="24"/>
          <w:szCs w:val="24"/>
          <w:highlight w:val="none"/>
        </w:rPr>
      </w:pPr>
      <w:r>
        <w:rPr>
          <w:rFonts w:hint="default" w:ascii="仿宋" w:hAnsi="仿宋" w:eastAsia="仿宋" w:cs="仿宋"/>
          <w:bCs w:val="0"/>
          <w:color w:val="auto"/>
          <w:sz w:val="24"/>
          <w:szCs w:val="24"/>
          <w:highlight w:val="none"/>
        </w:rPr>
        <w:t>1.如出现中标人自身管理或沟通不利使员工通过各类渠道或以其他方式对招标人的声誉造成不利影响，以及因中标人服务质量或员工素质等原因有损招标人的社会公众形象、口碑等情况，中标人必须第一时间负责将不利影响降到最低并及时妥善处理，同时承担由此造成的声誉损失后果。招标人保留从经济、法律或其他形式向中标人追究责任的权利。</w:t>
      </w:r>
    </w:p>
    <w:p w14:paraId="11845C29">
      <w:pPr>
        <w:pStyle w:val="2"/>
        <w:numPr>
          <w:ilvl w:val="0"/>
          <w:numId w:val="0"/>
        </w:numPr>
        <w:snapToGrid/>
        <w:spacing w:line="360" w:lineRule="auto"/>
        <w:ind w:firstLine="480"/>
        <w:jc w:val="left"/>
        <w:rPr>
          <w:rFonts w:ascii="仿宋" w:hAnsi="仿宋" w:eastAsia="仿宋" w:cs="仿宋"/>
          <w:color w:val="auto"/>
          <w:spacing w:val="0"/>
          <w:sz w:val="24"/>
          <w:szCs w:val="24"/>
          <w:highlight w:val="none"/>
        </w:rPr>
      </w:pPr>
      <w:r>
        <w:rPr>
          <w:rFonts w:hint="default" w:ascii="仿宋" w:hAnsi="仿宋" w:eastAsia="仿宋" w:cs="仿宋"/>
          <w:bCs w:val="0"/>
          <w:color w:val="auto"/>
          <w:sz w:val="24"/>
          <w:szCs w:val="24"/>
          <w:highlight w:val="none"/>
        </w:rPr>
        <w:t>2.中标人擅自将服务合同转包或分包给第三人的，以及中标人违反法律法规、规章或其他相关规范性文件的规定，影响合同履行的，招标人可以单方面解除合同而无须向中标人支付任何费用或承担其他任何责任，由此产生的经济损失和法律责任均由中标人承担。</w:t>
      </w:r>
    </w:p>
    <w:p w14:paraId="31D60644">
      <w:pPr>
        <w:snapToGrid w:val="0"/>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八、</w:t>
      </w:r>
      <w:r>
        <w:rPr>
          <w:rFonts w:hint="eastAsia" w:ascii="仿宋" w:hAnsi="仿宋" w:eastAsia="仿宋" w:cs="仿宋"/>
          <w:b/>
          <w:bCs/>
          <w:color w:val="auto"/>
          <w:sz w:val="32"/>
          <w:szCs w:val="32"/>
          <w:highlight w:val="none"/>
          <w:lang w:eastAsia="zh-CN"/>
        </w:rPr>
        <w:t>承包</w:t>
      </w:r>
      <w:r>
        <w:rPr>
          <w:rFonts w:hint="eastAsia" w:ascii="仿宋" w:hAnsi="仿宋" w:eastAsia="仿宋" w:cs="仿宋"/>
          <w:b/>
          <w:bCs/>
          <w:color w:val="auto"/>
          <w:sz w:val="32"/>
          <w:szCs w:val="32"/>
          <w:highlight w:val="none"/>
        </w:rPr>
        <w:t>方式</w:t>
      </w:r>
    </w:p>
    <w:p w14:paraId="39046F40">
      <w:pPr>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固定</w:t>
      </w:r>
      <w:r>
        <w:rPr>
          <w:rFonts w:hint="eastAsia" w:ascii="仿宋" w:hAnsi="仿宋" w:eastAsia="仿宋" w:cs="仿宋"/>
          <w:color w:val="auto"/>
          <w:sz w:val="24"/>
          <w:szCs w:val="24"/>
          <w:highlight w:val="none"/>
          <w:lang w:val="en-US" w:eastAsia="zh-CN"/>
        </w:rPr>
        <w:t>总价包干</w:t>
      </w:r>
    </w:p>
    <w:p w14:paraId="4F2DC887">
      <w:pPr>
        <w:snapToGrid w:val="0"/>
        <w:spacing w:line="360" w:lineRule="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九、验收要求</w:t>
      </w:r>
    </w:p>
    <w:p w14:paraId="4021AF82">
      <w:pPr>
        <w:snapToGrid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按招标文件、国家和行业现行的法律、法规及验收规范执行。</w:t>
      </w:r>
    </w:p>
    <w:p w14:paraId="7DAF4C6C">
      <w:pPr>
        <w:snapToGrid w:val="0"/>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十、</w:t>
      </w:r>
      <w:r>
        <w:rPr>
          <w:rFonts w:hint="eastAsia" w:ascii="仿宋" w:hAnsi="仿宋" w:eastAsia="仿宋" w:cs="仿宋"/>
          <w:b/>
          <w:bCs/>
          <w:color w:val="auto"/>
          <w:sz w:val="32"/>
          <w:szCs w:val="32"/>
          <w:highlight w:val="none"/>
          <w:lang w:eastAsia="zh-CN"/>
        </w:rPr>
        <w:t>付款</w:t>
      </w:r>
      <w:r>
        <w:rPr>
          <w:rFonts w:hint="eastAsia" w:ascii="仿宋" w:hAnsi="仿宋" w:eastAsia="仿宋" w:cs="仿宋"/>
          <w:b/>
          <w:bCs/>
          <w:color w:val="auto"/>
          <w:sz w:val="32"/>
          <w:szCs w:val="32"/>
          <w:highlight w:val="none"/>
        </w:rPr>
        <w:t>方式</w:t>
      </w:r>
    </w:p>
    <w:p w14:paraId="0C42021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1.中标人应于服务期满后与招标人确定最终服务费金额（扣除考核扣款），按要求开具发票，招标人收到服务费发票后向中标人支付相应费用。因中标人未及时提供发票导致相应后果的，招标人不承担任何责任。</w:t>
      </w:r>
    </w:p>
    <w:p w14:paraId="28B4A55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2.服务费按中标价格执行，在合同实施期间不因薪资政策调整、市场变化等任何因素而变动。</w:t>
      </w:r>
    </w:p>
    <w:p w14:paraId="75A9B640">
      <w:pPr>
        <w:snapToGrid w:val="0"/>
        <w:spacing w:line="360" w:lineRule="auto"/>
        <w:rPr>
          <w:rFonts w:hint="default" w:ascii="仿宋" w:hAnsi="仿宋" w:eastAsia="仿宋" w:cs="仿宋"/>
          <w:b/>
          <w:bCs/>
          <w:color w:val="auto"/>
          <w:sz w:val="32"/>
          <w:szCs w:val="32"/>
          <w:highlight w:val="none"/>
          <w:lang w:val="en-US"/>
        </w:rPr>
      </w:pPr>
      <w:r>
        <w:rPr>
          <w:rFonts w:hint="eastAsia" w:ascii="仿宋" w:hAnsi="仿宋" w:eastAsia="仿宋" w:cs="仿宋"/>
          <w:b/>
          <w:bCs/>
          <w:color w:val="auto"/>
          <w:sz w:val="32"/>
          <w:szCs w:val="32"/>
          <w:highlight w:val="none"/>
          <w:lang w:val="en-US" w:eastAsia="zh-CN"/>
        </w:rPr>
        <w:t>十一、预算金额、最高限价：</w:t>
      </w:r>
    </w:p>
    <w:p w14:paraId="0A22A82E">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预算金额：人民币50万元</w:t>
      </w:r>
    </w:p>
    <w:p w14:paraId="0E8217C1">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最高限价：人民币50万元，投标人的报价不得高于最高限价，否则作为无效投标处理。</w:t>
      </w:r>
    </w:p>
    <w:p w14:paraId="0E828F38">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C55CF"/>
    <w:rsid w:val="579C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uiPriority w:val="0"/>
    <w:pPr>
      <w:ind w:firstLine="420" w:firstLineChars="200"/>
    </w:pPr>
    <w:rPr>
      <w:rFonts w:ascii="Times New Roman" w:hAnsi="Times New Roman" w:eastAsia="宋体" w:cs="Times New Roman"/>
    </w:rPr>
  </w:style>
  <w:style w:type="character" w:customStyle="1" w:styleId="5">
    <w:name w:val="NormalCharacter"/>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2026-08-24T08:04:00Z</dcterms:created>
  <dc:creator>沙昊锴</dc:creator>
  <cp:lastModifiedBy>沙昊锴</cp:lastModifiedBy>
  <dcterms:modified xsi:type="dcterms:W3CDTF">2026-08-24T08:05:13Z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AA3CED72CCB44C77B34287834CB2CC34_11</vt:lpwstr>
  </property>
  <property fmtid="{D5CDD505-2E9C-101B-9397-08002B2CF9AE}" pid="4" name="KSOTemplateDocerSaveRecord">
    <vt:lpwstr>eyJoZGlkIjoiZDBkNWI1YmIxM2MwN2NjN2UyMzRhNjJmODM5ZGE4NzkiLCJ1c2VySWQiOiIxMTk5MjAwMDEwIn0=</vt:lpwstr>
  </property>
</Properties>
</file>