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7A8C8">
      <w:pPr>
        <w:snapToGrid w:val="0"/>
        <w:spacing w:line="360" w:lineRule="auto"/>
        <w:rPr>
          <w:rFonts w:hint="eastAsia" w:ascii="仿宋" w:hAnsi="仿宋" w:eastAsia="仿宋" w:cs="仿宋"/>
          <w:b/>
          <w:bCs/>
          <w:color w:val="auto"/>
          <w:sz w:val="32"/>
          <w:szCs w:val="32"/>
          <w:highlight w:val="none"/>
        </w:rPr>
      </w:pPr>
      <w:bookmarkStart w:id="0" w:name="OLE_LINK2"/>
      <w:r>
        <w:rPr>
          <w:rFonts w:hint="eastAsia" w:ascii="仿宋" w:hAnsi="仿宋" w:eastAsia="仿宋" w:cs="仿宋"/>
          <w:b/>
          <w:bCs/>
          <w:color w:val="auto"/>
          <w:sz w:val="32"/>
          <w:szCs w:val="32"/>
          <w:highlight w:val="none"/>
        </w:rPr>
        <w:t>一、项目概况：</w:t>
      </w:r>
    </w:p>
    <w:p w14:paraId="2BC6507F">
      <w:pPr>
        <w:snapToGrid w:val="0"/>
        <w:spacing w:line="360" w:lineRule="auto"/>
        <w:ind w:firstLine="480"/>
        <w:rPr>
          <w:rFonts w:hint="eastAsia" w:ascii="仿宋" w:hAnsi="仿宋" w:eastAsia="仿宋" w:cs="仿宋"/>
          <w:b/>
          <w:bCs/>
          <w:color w:val="auto"/>
          <w:kern w:val="0"/>
          <w:sz w:val="32"/>
          <w:szCs w:val="32"/>
          <w:highlight w:val="none"/>
        </w:rPr>
      </w:pPr>
      <w:r>
        <w:rPr>
          <w:rFonts w:hint="eastAsia" w:ascii="仿宋" w:hAnsi="仿宋" w:eastAsia="仿宋" w:cs="仿宋"/>
          <w:color w:val="auto"/>
          <w:sz w:val="24"/>
          <w:highlight w:val="none"/>
        </w:rPr>
        <w:t>本项目为常州市钟楼区第二实验小学高品质项目跨学科思维创享空间文化建设项目，包括在四楼连廊和一楼选定区城打造跨学科思维创享文化建设空间等。</w:t>
      </w:r>
      <w:r>
        <w:rPr>
          <w:rFonts w:hint="eastAsia" w:ascii="仿宋" w:hAnsi="仿宋" w:eastAsia="仿宋"/>
          <w:color w:val="auto"/>
          <w:sz w:val="24"/>
          <w:highlight w:val="none"/>
        </w:rPr>
        <w:t>涉及相应产品供货前的准备（包括现场踏勘、技术核对等）、产品设计、制造、采购、运输、装卸、安装、调试、技术指导培训、检验、质保期及维保服务等全部内容。</w:t>
      </w:r>
      <w:bookmarkEnd w:id="0"/>
    </w:p>
    <w:p w14:paraId="44A706D9">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二、</w:t>
      </w:r>
      <w:r>
        <w:rPr>
          <w:rFonts w:hint="eastAsia" w:ascii="仿宋" w:hAnsi="仿宋" w:eastAsia="仿宋" w:cs="仿宋"/>
          <w:b/>
          <w:color w:val="auto"/>
          <w:sz w:val="32"/>
          <w:szCs w:val="32"/>
          <w:highlight w:val="none"/>
        </w:rPr>
        <w:t>设计范围</w:t>
      </w:r>
      <w:r>
        <w:rPr>
          <w:rFonts w:hint="eastAsia" w:ascii="仿宋" w:hAnsi="仿宋" w:eastAsia="仿宋" w:cs="仿宋"/>
          <w:b/>
          <w:bCs/>
          <w:color w:val="auto"/>
          <w:kern w:val="0"/>
          <w:sz w:val="32"/>
          <w:szCs w:val="32"/>
          <w:highlight w:val="none"/>
        </w:rPr>
        <w:t>：</w:t>
      </w:r>
    </w:p>
    <w:p w14:paraId="32B7175F">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四楼启正楼与诚正楼中间连廊文化建设面积约200平方米，一楼选定区域地面文化建设约275平方米。</w:t>
      </w:r>
    </w:p>
    <w:p w14:paraId="18ACA094">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color w:val="auto"/>
          <w:sz w:val="32"/>
          <w:szCs w:val="32"/>
          <w:highlight w:val="none"/>
        </w:rPr>
        <w:t>三、设计要求</w:t>
      </w:r>
      <w:r>
        <w:rPr>
          <w:rFonts w:hint="eastAsia" w:ascii="仿宋" w:hAnsi="仿宋" w:eastAsia="仿宋" w:cs="仿宋"/>
          <w:b/>
          <w:bCs/>
          <w:color w:val="auto"/>
          <w:kern w:val="0"/>
          <w:sz w:val="32"/>
          <w:szCs w:val="32"/>
          <w:highlight w:val="none"/>
        </w:rPr>
        <w:t>：</w:t>
      </w:r>
    </w:p>
    <w:p w14:paraId="59543A4C">
      <w:pPr>
        <w:snapToGrid w:val="0"/>
        <w:spacing w:line="360" w:lineRule="auto"/>
        <w:ind w:firstLine="480"/>
        <w:rPr>
          <w:rFonts w:hint="eastAsia" w:ascii="仿宋" w:hAnsi="仿宋" w:eastAsia="仿宋"/>
          <w:b/>
          <w:bCs/>
          <w:color w:val="auto"/>
          <w:sz w:val="24"/>
          <w:highlight w:val="none"/>
        </w:rPr>
      </w:pPr>
      <w:r>
        <w:rPr>
          <w:rFonts w:hint="eastAsia" w:ascii="仿宋" w:hAnsi="仿宋" w:eastAsia="仿宋"/>
          <w:b/>
          <w:bCs/>
          <w:color w:val="auto"/>
          <w:sz w:val="24"/>
          <w:highlight w:val="none"/>
        </w:rPr>
        <w:t>（一）绘制游戏地面（课间活动区）</w:t>
      </w:r>
    </w:p>
    <w:p w14:paraId="6E11811F">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在校园一楼内选定区域（如教学楼周边空地、教学楼前空地等）设计并绘制多功能地面游戏图形等。</w:t>
      </w:r>
    </w:p>
    <w:p w14:paraId="3F1321AC">
      <w:pPr>
        <w:snapToGrid w:val="0"/>
        <w:spacing w:line="360" w:lineRule="auto"/>
        <w:ind w:firstLine="480"/>
        <w:rPr>
          <w:rFonts w:hint="eastAsia" w:ascii="仿宋" w:hAnsi="仿宋" w:eastAsia="仿宋"/>
          <w:b/>
          <w:bCs/>
          <w:color w:val="auto"/>
          <w:sz w:val="24"/>
          <w:highlight w:val="none"/>
        </w:rPr>
      </w:pPr>
      <w:r>
        <w:rPr>
          <w:rFonts w:hint="eastAsia" w:ascii="仿宋" w:hAnsi="仿宋" w:eastAsia="仿宋"/>
          <w:b/>
          <w:bCs/>
          <w:color w:val="auto"/>
          <w:sz w:val="24"/>
          <w:highlight w:val="none"/>
        </w:rPr>
        <w:t>（二）四楼跨学科思维广场——创·享空间</w:t>
      </w:r>
    </w:p>
    <w:p w14:paraId="0E4CB60F">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建设地点：四楼启正楼与诚正楼中间</w:t>
      </w:r>
    </w:p>
    <w:p w14:paraId="429FAE41">
      <w:pPr>
        <w:snapToGrid w:val="0"/>
        <w:spacing w:line="360" w:lineRule="auto"/>
        <w:ind w:firstLine="480"/>
        <w:rPr>
          <w:rFonts w:hint="eastAsia"/>
          <w:color w:val="auto"/>
          <w:sz w:val="24"/>
          <w:highlight w:val="none"/>
        </w:rPr>
      </w:pPr>
      <w:r>
        <w:rPr>
          <w:color w:val="auto"/>
          <w:highlight w:val="none"/>
        </w:rPr>
        <w:drawing>
          <wp:inline distT="0" distB="0" distL="114300" distR="114300">
            <wp:extent cx="2414270" cy="1800225"/>
            <wp:effectExtent l="0" t="0" r="508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414270" cy="1800225"/>
                    </a:xfrm>
                    <a:prstGeom prst="rect">
                      <a:avLst/>
                    </a:prstGeom>
                    <a:noFill/>
                    <a:ln>
                      <a:noFill/>
                    </a:ln>
                  </pic:spPr>
                </pic:pic>
              </a:graphicData>
            </a:graphic>
          </wp:inline>
        </w:drawing>
      </w:r>
    </w:p>
    <w:p w14:paraId="52727BF5">
      <w:pPr>
        <w:snapToGrid w:val="0"/>
        <w:spacing w:line="360" w:lineRule="auto"/>
        <w:ind w:firstLine="480"/>
        <w:rPr>
          <w:rFonts w:hint="eastAsia" w:ascii="仿宋" w:hAnsi="仿宋" w:eastAsia="仿宋"/>
          <w:b/>
          <w:bCs/>
          <w:color w:val="auto"/>
          <w:sz w:val="24"/>
          <w:highlight w:val="none"/>
        </w:rPr>
      </w:pPr>
      <w:r>
        <w:rPr>
          <w:rFonts w:hint="eastAsia" w:ascii="仿宋" w:hAnsi="仿宋" w:eastAsia="仿宋"/>
          <w:b/>
          <w:bCs/>
          <w:color w:val="auto"/>
          <w:sz w:val="24"/>
          <w:highlight w:val="none"/>
        </w:rPr>
        <w:t>2.1整体空间规划</w:t>
      </w:r>
    </w:p>
    <w:p w14:paraId="669B1CD6">
      <w:pPr>
        <w:snapToGrid/>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跨学科主题学习作为一种以问题为导向的学习方式，它整合了多个学科领域的知识和概念，旨在培养学生的综合思维和解决问题能力。这种学习方式的核心价值在于促进不同学科之间的关联与相互作用，帮助学生形成批判性思维和创新能力。学校通过有序列、螺旋式的跨学科主题课程设计丰富儿童的学习体验，重塑校园生活，让儿童“创享着长大”。该项目为跨学科主题学习提供学习资源和活动空间。四楼启正楼与诚正楼中间连廊整层按区域划分，形成一条学习动线。</w:t>
      </w:r>
    </w:p>
    <w:p w14:paraId="76573FD1">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四、其他要求：</w:t>
      </w:r>
    </w:p>
    <w:p w14:paraId="57FF002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1、设计需要符合校园主题和学校氛围；制作需使用规定的环保材质或工艺；</w:t>
      </w:r>
    </w:p>
    <w:p w14:paraId="26BA2FF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2、严格按照规定的材质规格、型号及质量标准进行印刷和制作，不得随意更换材质或使用同类规格降级的材质；</w:t>
      </w:r>
    </w:p>
    <w:p w14:paraId="7A320D3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3、必须符合国家及有关部门的技术标准和规范，满足采购人设计要求，文字内容由招标提供，印刷必须做到内容无误、材质无误、纸张平滑、墨色均匀、尺寸划一、包装结实；</w:t>
      </w:r>
    </w:p>
    <w:p w14:paraId="3AC8C47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4、保证完成印刷和制作所需的设备清单和技术人员；</w:t>
      </w:r>
    </w:p>
    <w:p w14:paraId="18BABC6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5、要按照招标人约定的交货周期，在规定时间内交付安装</w:t>
      </w:r>
      <w:r>
        <w:rPr>
          <w:rFonts w:hint="eastAsia" w:ascii="仿宋" w:hAnsi="仿宋" w:eastAsia="仿宋" w:cs="仿宋"/>
          <w:color w:val="auto"/>
          <w:sz w:val="24"/>
          <w:highlight w:val="none"/>
          <w:lang w:eastAsia="zh-CN"/>
        </w:rPr>
        <w:t>，及时</w:t>
      </w:r>
      <w:r>
        <w:rPr>
          <w:rFonts w:hint="eastAsia" w:ascii="仿宋" w:hAnsi="仿宋" w:eastAsia="仿宋" w:cs="仿宋"/>
          <w:color w:val="auto"/>
          <w:sz w:val="24"/>
          <w:highlight w:val="none"/>
          <w:lang w:bidi="ar"/>
        </w:rPr>
        <w:t>响应并到达现场对接</w:t>
      </w:r>
      <w:r>
        <w:rPr>
          <w:rFonts w:hint="eastAsia" w:ascii="仿宋" w:hAnsi="仿宋" w:eastAsia="仿宋" w:cs="仿宋"/>
          <w:color w:val="auto"/>
          <w:sz w:val="24"/>
          <w:highlight w:val="none"/>
        </w:rPr>
        <w:t>；</w:t>
      </w:r>
    </w:p>
    <w:p w14:paraId="6D14712C">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6、设计、制作服务完成的效果必须达到招标</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确认，如不能达到，在招标人允许的一定时间内进行修改、完善，使其达到要求，所涉及的费用由中标单位承担;</w:t>
      </w:r>
    </w:p>
    <w:p w14:paraId="4A91C9A5">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7、以环保、结实、持久耐用的材料为主。</w:t>
      </w:r>
    </w:p>
    <w:p w14:paraId="7951C71F">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五、服务期限：</w:t>
      </w:r>
    </w:p>
    <w:p w14:paraId="4608402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自合同签订之日起，15个日历日内完成本项目的设计、制作、实施等全部内容</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设计方案经招标人最终确认定稿后方可制作、实施</w:t>
      </w:r>
      <w:r>
        <w:rPr>
          <w:rFonts w:hint="eastAsia" w:ascii="仿宋" w:hAnsi="仿宋" w:eastAsia="仿宋" w:cs="仿宋"/>
          <w:color w:val="auto"/>
          <w:sz w:val="24"/>
          <w:highlight w:val="none"/>
        </w:rPr>
        <w:t>。</w:t>
      </w:r>
    </w:p>
    <w:p w14:paraId="0DB6D8F4">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六、承包方式：</w:t>
      </w:r>
    </w:p>
    <w:p w14:paraId="3551099D">
      <w:pPr>
        <w:snapToGrid w:val="0"/>
        <w:spacing w:line="360" w:lineRule="auto"/>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固定总价包干</w:t>
      </w:r>
    </w:p>
    <w:p w14:paraId="4932019B">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七、验收要求：</w:t>
      </w:r>
    </w:p>
    <w:p w14:paraId="4B2F3DD0">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1、产品符合招标人要求；</w:t>
      </w:r>
    </w:p>
    <w:p w14:paraId="5B2A7038">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2、色彩印刷无任何偏差，严禁色彩不匀，文字不清晰；</w:t>
      </w:r>
    </w:p>
    <w:p w14:paraId="41CEFE17">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3、印制中的图片符合自然色调，不闷暗、低沉，不偏色；</w:t>
      </w:r>
    </w:p>
    <w:p w14:paraId="1356A3A9">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4、产品配套性、组合性符合设计要求；</w:t>
      </w:r>
    </w:p>
    <w:p w14:paraId="4B5476B1">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5、成品纸张质量、印刷质量、工艺均应符合要求；</w:t>
      </w:r>
    </w:p>
    <w:p w14:paraId="26AB18DD">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6、中标人提供货物及配件均为按国家规格条例生产的合格正规产品、符合设计规范要求，并由中标人负责安装，现场调试。如出现质量问题或系假冒伪劣产品，中标人负责包退、包换，发生的费用由中标人负责；</w:t>
      </w:r>
    </w:p>
    <w:p w14:paraId="7534814E">
      <w:pPr>
        <w:widowControl/>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7、所有安装施工材料质量及施工质量必须严格按照国家规范及江苏省、常州市相应地方规范、采购文件、材料厂家的技术规范的有关要求执行；中标人应对安装施工安全、质量全面负责，并承担成品保护，如因中标人原因造成安全、质量事故或成品损坏，中标人承担一切经济法律责任；</w:t>
      </w:r>
    </w:p>
    <w:p w14:paraId="5641D0C7">
      <w:pPr>
        <w:snapToGrid w:val="0"/>
        <w:spacing w:line="360" w:lineRule="auto"/>
        <w:ind w:firstLine="480" w:firstLineChars="200"/>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8、如有一项不合格，验收视为不合格；招标人有权拒收产品并要求中标人重新制作，一切费用由中标人自行负责。</w:t>
      </w:r>
    </w:p>
    <w:p w14:paraId="2487A24E">
      <w:pPr>
        <w:spacing w:line="360" w:lineRule="auto"/>
        <w:jc w:val="left"/>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八、质保期、售后服务要求：</w:t>
      </w:r>
    </w:p>
    <w:p w14:paraId="160D5319">
      <w:pPr>
        <w:spacing w:line="360" w:lineRule="auto"/>
        <w:ind w:firstLine="480"/>
        <w:rPr>
          <w:rFonts w:hint="eastAsia" w:ascii="仿宋" w:hAnsi="仿宋" w:eastAsia="仿宋" w:cs="仿宋"/>
          <w:color w:val="auto"/>
          <w:sz w:val="24"/>
          <w:highlight w:val="none"/>
          <w:lang w:bidi="ar"/>
        </w:rPr>
      </w:pPr>
      <w:r>
        <w:rPr>
          <w:rFonts w:hint="eastAsia" w:ascii="仿宋" w:hAnsi="仿宋" w:eastAsia="仿宋" w:cs="仿宋"/>
          <w:color w:val="auto"/>
          <w:sz w:val="24"/>
          <w:highlight w:val="none"/>
          <w:lang w:bidi="ar"/>
        </w:rPr>
        <w:t>8.1项目免费质保期1年（自本项目验收合格之日起）</w:t>
      </w:r>
    </w:p>
    <w:p w14:paraId="01CCA991">
      <w:pPr>
        <w:spacing w:line="360" w:lineRule="auto"/>
        <w:ind w:firstLine="480"/>
        <w:rPr>
          <w:rFonts w:hint="eastAsia"/>
          <w:color w:val="auto"/>
          <w:highlight w:val="none"/>
        </w:rPr>
      </w:pPr>
      <w:r>
        <w:rPr>
          <w:rFonts w:hint="eastAsia" w:ascii="仿宋" w:hAnsi="仿宋" w:eastAsia="仿宋" w:cs="仿宋"/>
          <w:color w:val="auto"/>
          <w:sz w:val="24"/>
          <w:highlight w:val="none"/>
          <w:lang w:bidi="ar"/>
        </w:rPr>
        <w:t>8.2如有任何质量问题或内容问题,中标人应立即将所有有问题的产品悉数收回并将问题改过重新交货。在质保期内，一旦发生质量问题，中标人保证在接到通知工作日的24小时内到现场进行维修、更换或退货，费用由中标人负责。如中标人在接到通知工作日的24小时内没有答复或处理问题，则视为中标人承认质量问题并承担由此而发生的一切费用。</w:t>
      </w:r>
      <w:r>
        <w:rPr>
          <w:rFonts w:hint="eastAsia" w:ascii="仿宋" w:hAnsi="仿宋" w:eastAsia="仿宋" w:cs="仿宋"/>
          <w:color w:val="auto"/>
          <w:sz w:val="24"/>
          <w:highlight w:val="none"/>
        </w:rPr>
        <w:t>对于一些影响招标人正常使用的急修项目，在8小时内到场维修。</w:t>
      </w:r>
      <w:r>
        <w:rPr>
          <w:rFonts w:hint="eastAsia" w:ascii="仿宋" w:hAnsi="仿宋" w:eastAsia="仿宋" w:cs="仿宋"/>
          <w:color w:val="auto"/>
          <w:sz w:val="24"/>
          <w:highlight w:val="none"/>
          <w:lang w:bidi="ar"/>
        </w:rPr>
        <w:t>质保期间产品的一切质量问题，更换部件及产品本身质量原因造成的直接经济损失应全部由中标人自行负责。</w:t>
      </w:r>
    </w:p>
    <w:p w14:paraId="31FB0C27">
      <w:pPr>
        <w:spacing w:line="360" w:lineRule="auto"/>
        <w:jc w:val="left"/>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九、付款方式：</w:t>
      </w:r>
    </w:p>
    <w:p w14:paraId="29C82747">
      <w:pPr>
        <w:spacing w:line="360" w:lineRule="auto"/>
        <w:ind w:firstLine="480" w:firstLineChars="200"/>
        <w:jc w:val="left"/>
        <w:rPr>
          <w:rFonts w:hint="eastAsia" w:ascii="仿宋" w:hAnsi="仿宋" w:eastAsia="仿宋" w:cs="仿宋"/>
          <w:color w:val="auto"/>
          <w:sz w:val="24"/>
          <w:highlight w:val="none"/>
          <w:lang w:bidi="ar"/>
        </w:rPr>
      </w:pPr>
      <w:r>
        <w:rPr>
          <w:rFonts w:hint="eastAsia" w:ascii="仿宋" w:hAnsi="仿宋" w:eastAsia="仿宋"/>
          <w:color w:val="auto"/>
          <w:sz w:val="24"/>
          <w:highlight w:val="none"/>
        </w:rPr>
        <w:t>项目验收完成并审计后，</w:t>
      </w:r>
      <w:r>
        <w:rPr>
          <w:rFonts w:hint="eastAsia" w:ascii="仿宋" w:hAnsi="仿宋" w:eastAsia="仿宋"/>
          <w:color w:val="auto"/>
          <w:sz w:val="24"/>
          <w:highlight w:val="none"/>
          <w:lang w:bidi="ar"/>
        </w:rPr>
        <w:t>中标人</w:t>
      </w:r>
      <w:r>
        <w:rPr>
          <w:rFonts w:hint="eastAsia" w:ascii="仿宋" w:hAnsi="仿宋" w:eastAsia="仿宋"/>
          <w:color w:val="auto"/>
          <w:sz w:val="24"/>
          <w:highlight w:val="none"/>
        </w:rPr>
        <w:t>开具正规发票，付至审定价的100%一次性付清。</w:t>
      </w:r>
    </w:p>
    <w:p w14:paraId="28484623">
      <w:pPr>
        <w:snapToGrid w:val="0"/>
        <w:spacing w:line="360" w:lineRule="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十、预算金额、最高限价：</w:t>
      </w:r>
    </w:p>
    <w:p w14:paraId="2962C90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预算金额：人民币10万元</w:t>
      </w:r>
    </w:p>
    <w:p w14:paraId="4C414194">
      <w:pPr>
        <w:spacing w:line="360" w:lineRule="auto"/>
        <w:ind w:firstLine="480" w:firstLineChars="200"/>
        <w:jc w:val="left"/>
        <w:outlineLvl w:val="0"/>
        <w:rPr>
          <w:rFonts w:hint="eastAsia" w:ascii="仿宋" w:hAnsi="仿宋" w:eastAsia="仿宋" w:cs="仿宋"/>
          <w:b/>
          <w:color w:val="auto"/>
          <w:sz w:val="44"/>
          <w:szCs w:val="21"/>
          <w:highlight w:val="none"/>
        </w:rPr>
      </w:pPr>
      <w:r>
        <w:rPr>
          <w:rFonts w:hint="eastAsia" w:ascii="仿宋" w:hAnsi="仿宋" w:eastAsia="仿宋" w:cs="仿宋"/>
          <w:color w:val="auto"/>
          <w:sz w:val="24"/>
          <w:highlight w:val="none"/>
        </w:rPr>
        <w:t>最高预算：人民币10万元，投标人报价时总价不得高于最高限价，否则作为无效投标处理。</w:t>
      </w:r>
    </w:p>
    <w:p w14:paraId="7BED9B28">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B686D"/>
    <w:rsid w:val="27CB6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2026-08-11T06:36:00Z</dcterms:created>
  <dc:creator>沙昊锴</dc:creator>
  <cp:lastModifiedBy>沙昊锴</cp:lastModifiedBy>
  <dcterms:modified xsi:type="dcterms:W3CDTF">2026-08-11T06:37:13Z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9F731B378709422EBCD27C53E4C93B96_11</vt:lpwstr>
  </property>
  <property fmtid="{D5CDD505-2E9C-101B-9397-08002B2CF9AE}" pid="4" name="KSOTemplateDocerSaveRecord">
    <vt:lpwstr>eyJoZGlkIjoiZDBkNWI1YmIxM2MwN2NjN2UyMzRhNjJmODM5ZGE4NzkiLCJ1c2VySWQiOiIxMTk5MjAwMDEwIn0=</vt:lpwstr>
  </property>
</Properties>
</file>