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805AB">
      <w:pPr>
        <w:tabs>
          <w:tab w:val="left" w:pos="4140"/>
          <w:tab w:val="left" w:pos="5812"/>
        </w:tabs>
        <w:spacing w:beforeLines="350" w:line="700" w:lineRule="exact"/>
        <w:ind w:right="-199"/>
        <w:jc w:val="center"/>
        <w:rPr>
          <w:rFonts w:ascii="仿宋" w:hAnsi="仿宋" w:eastAsia="仿宋"/>
          <w:b/>
          <w:color w:val="auto"/>
          <w:sz w:val="30"/>
          <w:szCs w:val="30"/>
          <w:highlight w:val="none"/>
        </w:rPr>
      </w:pPr>
      <w:r>
        <w:rPr>
          <w:rFonts w:hint="eastAsia" w:ascii="仿宋" w:hAnsi="仿宋" w:eastAsia="仿宋"/>
          <w:b/>
          <w:color w:val="auto"/>
          <w:sz w:val="40"/>
          <w:szCs w:val="40"/>
          <w:highlight w:val="none"/>
        </w:rPr>
        <w:t>一站式预约管理平台项目</w:t>
      </w:r>
      <w:r>
        <w:rPr>
          <w:rFonts w:hint="eastAsia" w:ascii="仿宋" w:hAnsi="仿宋" w:eastAsia="仿宋"/>
          <w:b/>
          <w:color w:val="auto"/>
          <w:sz w:val="30"/>
          <w:szCs w:val="30"/>
          <w:highlight w:val="none"/>
        </w:rPr>
        <w:t xml:space="preserve"> </w:t>
      </w:r>
    </w:p>
    <w:p w14:paraId="5A777031">
      <w:pPr>
        <w:tabs>
          <w:tab w:val="left" w:pos="4140"/>
          <w:tab w:val="left" w:pos="5812"/>
        </w:tabs>
        <w:spacing w:beforeLines="350" w:line="360" w:lineRule="auto"/>
        <w:ind w:right="-198"/>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项目编号:ZYJS-SC2025007</w:t>
      </w:r>
    </w:p>
    <w:p w14:paraId="309D91B8">
      <w:pPr>
        <w:autoSpaceDE w:val="0"/>
        <w:autoSpaceDN w:val="0"/>
        <w:adjustRightInd w:val="0"/>
        <w:spacing w:line="200" w:lineRule="exact"/>
        <w:jc w:val="left"/>
        <w:rPr>
          <w:rFonts w:ascii="仿宋" w:hAnsi="仿宋" w:eastAsia="仿宋" w:cs="MingLiU"/>
          <w:color w:val="auto"/>
          <w:kern w:val="0"/>
          <w:sz w:val="20"/>
          <w:szCs w:val="20"/>
          <w:highlight w:val="none"/>
        </w:rPr>
      </w:pPr>
    </w:p>
    <w:p w14:paraId="7D1FE2FB">
      <w:pPr>
        <w:autoSpaceDE w:val="0"/>
        <w:autoSpaceDN w:val="0"/>
        <w:adjustRightInd w:val="0"/>
        <w:spacing w:line="200" w:lineRule="exact"/>
        <w:jc w:val="left"/>
        <w:rPr>
          <w:rFonts w:ascii="仿宋" w:hAnsi="仿宋" w:eastAsia="仿宋" w:cs="MingLiU"/>
          <w:color w:val="auto"/>
          <w:kern w:val="0"/>
          <w:sz w:val="20"/>
          <w:szCs w:val="20"/>
          <w:highlight w:val="none"/>
        </w:rPr>
      </w:pPr>
    </w:p>
    <w:p w14:paraId="3E8E4663">
      <w:pPr>
        <w:autoSpaceDE w:val="0"/>
        <w:autoSpaceDN w:val="0"/>
        <w:adjustRightInd w:val="0"/>
        <w:spacing w:line="200" w:lineRule="exact"/>
        <w:jc w:val="left"/>
        <w:rPr>
          <w:rFonts w:ascii="仿宋" w:hAnsi="仿宋" w:eastAsia="仿宋" w:cs="MingLiU"/>
          <w:color w:val="auto"/>
          <w:kern w:val="0"/>
          <w:sz w:val="20"/>
          <w:szCs w:val="20"/>
          <w:highlight w:val="none"/>
        </w:rPr>
      </w:pPr>
    </w:p>
    <w:p w14:paraId="4DCD95D3">
      <w:pPr>
        <w:autoSpaceDE w:val="0"/>
        <w:autoSpaceDN w:val="0"/>
        <w:adjustRightInd w:val="0"/>
        <w:spacing w:line="200" w:lineRule="exact"/>
        <w:jc w:val="left"/>
        <w:rPr>
          <w:rFonts w:ascii="仿宋" w:hAnsi="仿宋" w:eastAsia="仿宋" w:cs="MingLiU"/>
          <w:color w:val="auto"/>
          <w:kern w:val="0"/>
          <w:sz w:val="20"/>
          <w:szCs w:val="20"/>
          <w:highlight w:val="none"/>
        </w:rPr>
      </w:pPr>
    </w:p>
    <w:p w14:paraId="467880A7">
      <w:pPr>
        <w:autoSpaceDE w:val="0"/>
        <w:autoSpaceDN w:val="0"/>
        <w:adjustRightInd w:val="0"/>
        <w:spacing w:line="200" w:lineRule="exact"/>
        <w:jc w:val="left"/>
        <w:rPr>
          <w:rFonts w:ascii="仿宋" w:hAnsi="仿宋" w:eastAsia="仿宋" w:cs="MingLiU"/>
          <w:color w:val="auto"/>
          <w:kern w:val="0"/>
          <w:sz w:val="20"/>
          <w:szCs w:val="20"/>
          <w:highlight w:val="none"/>
        </w:rPr>
      </w:pPr>
    </w:p>
    <w:p w14:paraId="1043DABD">
      <w:pPr>
        <w:autoSpaceDE w:val="0"/>
        <w:autoSpaceDN w:val="0"/>
        <w:adjustRightInd w:val="0"/>
        <w:spacing w:line="200" w:lineRule="exact"/>
        <w:jc w:val="left"/>
        <w:rPr>
          <w:rFonts w:ascii="仿宋" w:hAnsi="仿宋" w:eastAsia="仿宋" w:cs="MingLiU"/>
          <w:color w:val="auto"/>
          <w:kern w:val="0"/>
          <w:sz w:val="20"/>
          <w:szCs w:val="20"/>
          <w:highlight w:val="none"/>
        </w:rPr>
      </w:pPr>
    </w:p>
    <w:p w14:paraId="19BF99F0">
      <w:pPr>
        <w:autoSpaceDE w:val="0"/>
        <w:autoSpaceDN w:val="0"/>
        <w:adjustRightInd w:val="0"/>
        <w:spacing w:line="200" w:lineRule="exact"/>
        <w:jc w:val="left"/>
        <w:rPr>
          <w:rFonts w:ascii="仿宋" w:hAnsi="仿宋" w:eastAsia="仿宋" w:cs="MingLiU"/>
          <w:color w:val="auto"/>
          <w:kern w:val="0"/>
          <w:sz w:val="20"/>
          <w:szCs w:val="20"/>
          <w:highlight w:val="none"/>
        </w:rPr>
      </w:pPr>
    </w:p>
    <w:p w14:paraId="362B1752">
      <w:pPr>
        <w:spacing w:afterLines="50"/>
        <w:jc w:val="center"/>
        <w:rPr>
          <w:rFonts w:ascii="仿宋" w:hAnsi="仿宋" w:eastAsia="仿宋"/>
          <w:b/>
          <w:color w:val="auto"/>
          <w:spacing w:val="40"/>
          <w:sz w:val="84"/>
          <w:szCs w:val="84"/>
          <w:highlight w:val="none"/>
        </w:rPr>
      </w:pPr>
      <w:r>
        <w:rPr>
          <w:rFonts w:hint="eastAsia" w:ascii="仿宋" w:hAnsi="仿宋" w:eastAsia="仿宋"/>
          <w:b/>
          <w:color w:val="auto"/>
          <w:spacing w:val="40"/>
          <w:sz w:val="84"/>
          <w:szCs w:val="84"/>
          <w:highlight w:val="none"/>
        </w:rPr>
        <w:t>竞争性磋商文件</w:t>
      </w:r>
    </w:p>
    <w:p w14:paraId="1D175172">
      <w:pPr>
        <w:jc w:val="center"/>
        <w:rPr>
          <w:rFonts w:ascii="仿宋" w:hAnsi="仿宋" w:eastAsia="仿宋" w:cs="MingLiU"/>
          <w:b/>
          <w:color w:val="auto"/>
          <w:kern w:val="0"/>
          <w:sz w:val="32"/>
          <w:szCs w:val="32"/>
          <w:highlight w:val="none"/>
        </w:rPr>
      </w:pPr>
    </w:p>
    <w:p w14:paraId="2811C80B">
      <w:pPr>
        <w:autoSpaceDE w:val="0"/>
        <w:autoSpaceDN w:val="0"/>
        <w:adjustRightInd w:val="0"/>
        <w:spacing w:line="200" w:lineRule="exact"/>
        <w:jc w:val="left"/>
        <w:rPr>
          <w:rFonts w:ascii="仿宋" w:hAnsi="仿宋" w:eastAsia="仿宋" w:cs="MingLiU"/>
          <w:color w:val="auto"/>
          <w:kern w:val="0"/>
          <w:sz w:val="20"/>
          <w:szCs w:val="20"/>
          <w:highlight w:val="none"/>
        </w:rPr>
      </w:pPr>
    </w:p>
    <w:p w14:paraId="2B1F2ABD">
      <w:pPr>
        <w:autoSpaceDE w:val="0"/>
        <w:autoSpaceDN w:val="0"/>
        <w:adjustRightInd w:val="0"/>
        <w:spacing w:line="200" w:lineRule="exact"/>
        <w:jc w:val="left"/>
        <w:rPr>
          <w:rFonts w:ascii="仿宋" w:hAnsi="仿宋" w:eastAsia="仿宋" w:cs="MingLiU"/>
          <w:color w:val="auto"/>
          <w:kern w:val="0"/>
          <w:sz w:val="20"/>
          <w:szCs w:val="20"/>
          <w:highlight w:val="none"/>
        </w:rPr>
      </w:pPr>
    </w:p>
    <w:p w14:paraId="5B18393C">
      <w:pPr>
        <w:autoSpaceDE w:val="0"/>
        <w:autoSpaceDN w:val="0"/>
        <w:adjustRightInd w:val="0"/>
        <w:spacing w:line="200" w:lineRule="exact"/>
        <w:jc w:val="left"/>
        <w:rPr>
          <w:rFonts w:ascii="仿宋" w:hAnsi="仿宋" w:eastAsia="仿宋" w:cs="MingLiU"/>
          <w:color w:val="auto"/>
          <w:kern w:val="0"/>
          <w:sz w:val="20"/>
          <w:szCs w:val="20"/>
          <w:highlight w:val="none"/>
        </w:rPr>
      </w:pPr>
    </w:p>
    <w:p w14:paraId="5266E25B">
      <w:pPr>
        <w:autoSpaceDE w:val="0"/>
        <w:autoSpaceDN w:val="0"/>
        <w:adjustRightInd w:val="0"/>
        <w:spacing w:line="200" w:lineRule="exact"/>
        <w:jc w:val="left"/>
        <w:rPr>
          <w:rFonts w:ascii="仿宋" w:hAnsi="仿宋" w:eastAsia="仿宋" w:cs="MingLiU"/>
          <w:color w:val="auto"/>
          <w:kern w:val="0"/>
          <w:sz w:val="20"/>
          <w:szCs w:val="20"/>
          <w:highlight w:val="none"/>
        </w:rPr>
      </w:pPr>
    </w:p>
    <w:p w14:paraId="33902884">
      <w:pPr>
        <w:autoSpaceDE w:val="0"/>
        <w:autoSpaceDN w:val="0"/>
        <w:adjustRightInd w:val="0"/>
        <w:spacing w:line="200" w:lineRule="exact"/>
        <w:jc w:val="left"/>
        <w:rPr>
          <w:rFonts w:ascii="仿宋" w:hAnsi="仿宋" w:eastAsia="仿宋" w:cs="MingLiU"/>
          <w:color w:val="auto"/>
          <w:kern w:val="0"/>
          <w:sz w:val="20"/>
          <w:szCs w:val="20"/>
          <w:highlight w:val="none"/>
        </w:rPr>
      </w:pPr>
    </w:p>
    <w:p w14:paraId="13E39BF7">
      <w:pPr>
        <w:autoSpaceDE w:val="0"/>
        <w:autoSpaceDN w:val="0"/>
        <w:adjustRightInd w:val="0"/>
        <w:spacing w:line="200" w:lineRule="exact"/>
        <w:jc w:val="left"/>
        <w:rPr>
          <w:rFonts w:ascii="仿宋" w:hAnsi="仿宋" w:eastAsia="仿宋" w:cs="MingLiU"/>
          <w:color w:val="auto"/>
          <w:kern w:val="0"/>
          <w:sz w:val="20"/>
          <w:szCs w:val="20"/>
          <w:highlight w:val="none"/>
        </w:rPr>
      </w:pPr>
    </w:p>
    <w:p w14:paraId="396F2316">
      <w:pPr>
        <w:autoSpaceDE w:val="0"/>
        <w:autoSpaceDN w:val="0"/>
        <w:adjustRightInd w:val="0"/>
        <w:spacing w:line="200" w:lineRule="exact"/>
        <w:jc w:val="left"/>
        <w:rPr>
          <w:rFonts w:ascii="仿宋" w:hAnsi="仿宋" w:eastAsia="仿宋" w:cs="MingLiU"/>
          <w:color w:val="auto"/>
          <w:kern w:val="0"/>
          <w:sz w:val="20"/>
          <w:szCs w:val="20"/>
          <w:highlight w:val="none"/>
        </w:rPr>
      </w:pPr>
    </w:p>
    <w:p w14:paraId="312B0EFF">
      <w:pPr>
        <w:autoSpaceDE w:val="0"/>
        <w:autoSpaceDN w:val="0"/>
        <w:adjustRightInd w:val="0"/>
        <w:spacing w:line="200" w:lineRule="exact"/>
        <w:jc w:val="left"/>
        <w:rPr>
          <w:rFonts w:ascii="仿宋" w:hAnsi="仿宋" w:eastAsia="仿宋" w:cs="MingLiU"/>
          <w:color w:val="auto"/>
          <w:kern w:val="0"/>
          <w:sz w:val="20"/>
          <w:szCs w:val="20"/>
          <w:highlight w:val="none"/>
        </w:rPr>
      </w:pPr>
    </w:p>
    <w:p w14:paraId="1EC2DD22">
      <w:pPr>
        <w:autoSpaceDE w:val="0"/>
        <w:autoSpaceDN w:val="0"/>
        <w:adjustRightInd w:val="0"/>
        <w:spacing w:line="200" w:lineRule="exact"/>
        <w:jc w:val="left"/>
        <w:rPr>
          <w:rFonts w:ascii="仿宋" w:hAnsi="仿宋" w:eastAsia="仿宋" w:cs="MingLiU"/>
          <w:color w:val="auto"/>
          <w:kern w:val="0"/>
          <w:sz w:val="20"/>
          <w:szCs w:val="20"/>
          <w:highlight w:val="none"/>
        </w:rPr>
      </w:pPr>
    </w:p>
    <w:p w14:paraId="4B5D1381">
      <w:pPr>
        <w:autoSpaceDE w:val="0"/>
        <w:autoSpaceDN w:val="0"/>
        <w:adjustRightInd w:val="0"/>
        <w:spacing w:line="200" w:lineRule="exact"/>
        <w:jc w:val="left"/>
        <w:rPr>
          <w:rFonts w:ascii="仿宋" w:hAnsi="仿宋" w:eastAsia="仿宋" w:cs="MingLiU"/>
          <w:color w:val="auto"/>
          <w:kern w:val="0"/>
          <w:sz w:val="20"/>
          <w:szCs w:val="20"/>
          <w:highlight w:val="none"/>
        </w:rPr>
      </w:pPr>
    </w:p>
    <w:p w14:paraId="1611F7F7">
      <w:pPr>
        <w:pStyle w:val="30"/>
        <w:rPr>
          <w:rFonts w:ascii="仿宋" w:hAnsi="仿宋" w:eastAsia="仿宋" w:cs="MingLiU"/>
          <w:color w:val="auto"/>
          <w:sz w:val="20"/>
          <w:szCs w:val="20"/>
          <w:highlight w:val="none"/>
        </w:rPr>
      </w:pPr>
    </w:p>
    <w:p w14:paraId="4216DB88">
      <w:pPr>
        <w:pStyle w:val="30"/>
        <w:rPr>
          <w:rFonts w:ascii="仿宋" w:hAnsi="仿宋" w:eastAsia="仿宋" w:cs="MingLiU"/>
          <w:color w:val="auto"/>
          <w:sz w:val="20"/>
          <w:szCs w:val="20"/>
          <w:highlight w:val="none"/>
        </w:rPr>
      </w:pPr>
    </w:p>
    <w:p w14:paraId="711916A2">
      <w:pPr>
        <w:autoSpaceDE w:val="0"/>
        <w:autoSpaceDN w:val="0"/>
        <w:adjustRightInd w:val="0"/>
        <w:spacing w:line="200" w:lineRule="exact"/>
        <w:jc w:val="left"/>
        <w:rPr>
          <w:rFonts w:ascii="仿宋" w:hAnsi="仿宋" w:eastAsia="仿宋" w:cs="MingLiU"/>
          <w:color w:val="auto"/>
          <w:kern w:val="0"/>
          <w:sz w:val="20"/>
          <w:szCs w:val="20"/>
          <w:highlight w:val="none"/>
        </w:rPr>
      </w:pPr>
    </w:p>
    <w:p w14:paraId="60BC7464">
      <w:pPr>
        <w:adjustRightInd w:val="0"/>
        <w:snapToGrid w:val="0"/>
        <w:spacing w:line="600" w:lineRule="exact"/>
        <w:jc w:val="left"/>
        <w:rPr>
          <w:rFonts w:ascii="仿宋" w:hAnsi="仿宋" w:eastAsia="仿宋"/>
          <w:b/>
          <w:bCs/>
          <w:color w:val="auto"/>
          <w:spacing w:val="40"/>
          <w:sz w:val="30"/>
          <w:szCs w:val="30"/>
          <w:highlight w:val="none"/>
        </w:rPr>
      </w:pPr>
      <w:r>
        <w:rPr>
          <w:rFonts w:hint="eastAsia" w:ascii="仿宋" w:hAnsi="仿宋" w:eastAsia="仿宋"/>
          <w:b/>
          <w:bCs/>
          <w:color w:val="auto"/>
          <w:spacing w:val="40"/>
          <w:sz w:val="30"/>
          <w:szCs w:val="30"/>
          <w:highlight w:val="none"/>
        </w:rPr>
        <w:t>采购人：溧阳市人民医院</w:t>
      </w:r>
    </w:p>
    <w:p w14:paraId="2B4E5ACF">
      <w:pPr>
        <w:adjustRightInd w:val="0"/>
        <w:snapToGrid w:val="0"/>
        <w:spacing w:line="600" w:lineRule="exact"/>
        <w:rPr>
          <w:rFonts w:ascii="仿宋" w:hAnsi="仿宋" w:eastAsia="仿宋"/>
          <w:b/>
          <w:bCs/>
          <w:color w:val="auto"/>
          <w:spacing w:val="40"/>
          <w:sz w:val="30"/>
          <w:szCs w:val="30"/>
          <w:highlight w:val="none"/>
        </w:rPr>
      </w:pPr>
      <w:r>
        <w:rPr>
          <w:rFonts w:hint="eastAsia" w:ascii="仿宋" w:hAnsi="仿宋" w:eastAsia="仿宋"/>
          <w:b/>
          <w:bCs/>
          <w:color w:val="auto"/>
          <w:spacing w:val="40"/>
          <w:sz w:val="30"/>
          <w:szCs w:val="30"/>
          <w:highlight w:val="none"/>
        </w:rPr>
        <w:t>采购代理机构：常州中宇建设工程管理有限公司</w:t>
      </w:r>
    </w:p>
    <w:p w14:paraId="5E7A8E1C">
      <w:pPr>
        <w:adjustRightInd w:val="0"/>
        <w:snapToGrid w:val="0"/>
        <w:spacing w:line="600" w:lineRule="exact"/>
        <w:rPr>
          <w:rFonts w:ascii="仿宋" w:hAnsi="仿宋" w:eastAsia="仿宋"/>
          <w:b/>
          <w:bCs/>
          <w:color w:val="auto"/>
          <w:spacing w:val="40"/>
          <w:sz w:val="30"/>
          <w:szCs w:val="30"/>
          <w:highlight w:val="none"/>
        </w:rPr>
      </w:pPr>
    </w:p>
    <w:p w14:paraId="5F709A72">
      <w:pPr>
        <w:spacing w:line="480" w:lineRule="auto"/>
        <w:jc w:val="center"/>
        <w:outlineLvl w:val="0"/>
        <w:rPr>
          <w:rFonts w:ascii="仿宋" w:hAnsi="仿宋" w:eastAsia="仿宋"/>
          <w:b/>
          <w:color w:val="auto"/>
          <w:sz w:val="36"/>
          <w:szCs w:val="36"/>
          <w:highlight w:val="none"/>
        </w:rPr>
      </w:pPr>
      <w:bookmarkStart w:id="0" w:name="_Toc463253080"/>
      <w:r>
        <w:rPr>
          <w:rFonts w:hint="eastAsia" w:ascii="仿宋" w:hAnsi="仿宋" w:eastAsia="仿宋"/>
          <w:b/>
          <w:bCs/>
          <w:color w:val="auto"/>
          <w:spacing w:val="40"/>
          <w:sz w:val="30"/>
          <w:szCs w:val="30"/>
          <w:highlight w:val="none"/>
        </w:rPr>
        <w:t>二〇二四年十二月</w:t>
      </w:r>
    </w:p>
    <w:p w14:paraId="24220B4F">
      <w:pPr>
        <w:pStyle w:val="21"/>
        <w:ind w:firstLine="400"/>
        <w:rPr>
          <w:color w:val="auto"/>
          <w:highlight w:val="none"/>
        </w:rPr>
      </w:pPr>
    </w:p>
    <w:p w14:paraId="702AA4AC">
      <w:pPr>
        <w:rPr>
          <w:color w:val="auto"/>
          <w:highlight w:val="none"/>
        </w:rPr>
      </w:pPr>
    </w:p>
    <w:p w14:paraId="34423399">
      <w:pPr>
        <w:spacing w:line="480" w:lineRule="auto"/>
        <w:jc w:val="center"/>
        <w:outlineLvl w:val="0"/>
        <w:rPr>
          <w:rFonts w:ascii="仿宋" w:hAnsi="仿宋" w:eastAsia="仿宋"/>
          <w:b/>
          <w:color w:val="auto"/>
          <w:sz w:val="36"/>
          <w:szCs w:val="36"/>
          <w:highlight w:val="none"/>
        </w:rPr>
      </w:pPr>
    </w:p>
    <w:p w14:paraId="31C14CB2">
      <w:pPr>
        <w:pStyle w:val="30"/>
        <w:rPr>
          <w:rFonts w:ascii="仿宋" w:hAnsi="仿宋" w:eastAsia="仿宋"/>
          <w:b/>
          <w:color w:val="auto"/>
          <w:sz w:val="36"/>
          <w:szCs w:val="36"/>
          <w:highlight w:val="none"/>
        </w:rPr>
      </w:pPr>
    </w:p>
    <w:p w14:paraId="45F9B141">
      <w:pPr>
        <w:pStyle w:val="30"/>
        <w:rPr>
          <w:rFonts w:ascii="仿宋" w:hAnsi="仿宋" w:eastAsia="仿宋"/>
          <w:b/>
          <w:color w:val="auto"/>
          <w:sz w:val="36"/>
          <w:szCs w:val="36"/>
          <w:highlight w:val="none"/>
        </w:rPr>
      </w:pPr>
    </w:p>
    <w:p w14:paraId="0B7501D5">
      <w:pPr>
        <w:spacing w:line="480" w:lineRule="auto"/>
        <w:jc w:val="center"/>
        <w:outlineLvl w:val="0"/>
        <w:rPr>
          <w:rFonts w:ascii="仿宋" w:hAnsi="仿宋" w:eastAsia="仿宋"/>
          <w:b/>
          <w:color w:val="auto"/>
          <w:sz w:val="36"/>
          <w:szCs w:val="36"/>
          <w:highlight w:val="none"/>
        </w:rPr>
      </w:pPr>
      <w:r>
        <w:rPr>
          <w:rFonts w:ascii="仿宋" w:hAnsi="仿宋" w:eastAsia="仿宋"/>
          <w:b/>
          <w:color w:val="auto"/>
          <w:sz w:val="36"/>
          <w:szCs w:val="36"/>
          <w:highlight w:val="none"/>
        </w:rPr>
        <w:t>总  目  录</w:t>
      </w:r>
      <w:bookmarkEnd w:id="0"/>
    </w:p>
    <w:p w14:paraId="0419D4DE">
      <w:pPr>
        <w:spacing w:line="480" w:lineRule="auto"/>
        <w:rPr>
          <w:rFonts w:ascii="仿宋" w:hAnsi="仿宋" w:eastAsia="仿宋"/>
          <w:b/>
          <w:color w:val="auto"/>
          <w:sz w:val="28"/>
          <w:highlight w:val="none"/>
        </w:rPr>
      </w:pPr>
    </w:p>
    <w:p w14:paraId="6F9E56F1">
      <w:pPr>
        <w:pStyle w:val="17"/>
        <w:spacing w:line="480" w:lineRule="auto"/>
        <w:rPr>
          <w:rFonts w:ascii="仿宋" w:hAnsi="仿宋" w:eastAsia="仿宋"/>
          <w:color w:val="auto"/>
          <w:sz w:val="28"/>
          <w:szCs w:val="28"/>
          <w:highlight w:val="none"/>
        </w:rPr>
      </w:pP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TOC \o "1-1" \u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第一章  竞争性磋商公告</w:t>
      </w:r>
      <w:r>
        <w:rPr>
          <w:rFonts w:ascii="仿宋" w:hAnsi="仿宋" w:eastAsia="仿宋"/>
          <w:color w:val="auto"/>
          <w:sz w:val="28"/>
          <w:szCs w:val="28"/>
          <w:highlight w:val="none"/>
        </w:rPr>
        <w:tab/>
      </w:r>
      <w:r>
        <w:rPr>
          <w:rFonts w:hint="eastAsia" w:ascii="仿宋" w:hAnsi="仿宋" w:eastAsia="仿宋"/>
          <w:color w:val="auto"/>
          <w:sz w:val="28"/>
          <w:szCs w:val="28"/>
          <w:highlight w:val="none"/>
        </w:rPr>
        <w:t>1</w:t>
      </w:r>
    </w:p>
    <w:p w14:paraId="208AA32A">
      <w:pPr>
        <w:pStyle w:val="17"/>
        <w:spacing w:line="480" w:lineRule="auto"/>
        <w:rPr>
          <w:rFonts w:ascii="仿宋" w:hAnsi="仿宋" w:eastAsia="仿宋"/>
          <w:color w:val="auto"/>
          <w:sz w:val="28"/>
          <w:szCs w:val="28"/>
          <w:highlight w:val="none"/>
        </w:rPr>
      </w:pPr>
      <w:r>
        <w:rPr>
          <w:rFonts w:ascii="仿宋" w:hAnsi="仿宋" w:eastAsia="仿宋"/>
          <w:color w:val="auto"/>
          <w:sz w:val="28"/>
          <w:szCs w:val="28"/>
          <w:highlight w:val="none"/>
        </w:rPr>
        <w:t>第二章  供应商须知</w:t>
      </w:r>
      <w:r>
        <w:rPr>
          <w:rFonts w:ascii="仿宋" w:hAnsi="仿宋" w:eastAsia="仿宋"/>
          <w:color w:val="auto"/>
          <w:sz w:val="28"/>
          <w:szCs w:val="28"/>
          <w:highlight w:val="none"/>
        </w:rPr>
        <w:tab/>
      </w:r>
      <w:r>
        <w:rPr>
          <w:rFonts w:hint="eastAsia" w:ascii="仿宋" w:hAnsi="仿宋" w:eastAsia="仿宋"/>
          <w:color w:val="auto"/>
          <w:sz w:val="28"/>
          <w:szCs w:val="28"/>
          <w:highlight w:val="none"/>
        </w:rPr>
        <w:t>6</w:t>
      </w:r>
    </w:p>
    <w:p w14:paraId="64A7C378">
      <w:pPr>
        <w:pStyle w:val="17"/>
        <w:spacing w:line="480" w:lineRule="auto"/>
        <w:rPr>
          <w:rFonts w:ascii="仿宋" w:hAnsi="仿宋" w:eastAsia="仿宋"/>
          <w:color w:val="auto"/>
          <w:sz w:val="28"/>
          <w:szCs w:val="28"/>
          <w:highlight w:val="none"/>
        </w:rPr>
      </w:pPr>
      <w:r>
        <w:rPr>
          <w:rFonts w:ascii="仿宋" w:hAnsi="仿宋" w:eastAsia="仿宋"/>
          <w:color w:val="auto"/>
          <w:sz w:val="28"/>
          <w:szCs w:val="28"/>
          <w:highlight w:val="none"/>
        </w:rPr>
        <w:t>第三章  项目需求</w:t>
      </w:r>
      <w:r>
        <w:rPr>
          <w:rFonts w:ascii="仿宋" w:hAnsi="仿宋" w:eastAsia="仿宋"/>
          <w:color w:val="auto"/>
          <w:sz w:val="28"/>
          <w:szCs w:val="28"/>
          <w:highlight w:val="none"/>
        </w:rPr>
        <w:tab/>
      </w:r>
      <w:r>
        <w:rPr>
          <w:rFonts w:hint="eastAsia" w:ascii="仿宋" w:hAnsi="仿宋" w:eastAsia="仿宋"/>
          <w:color w:val="auto"/>
          <w:sz w:val="28"/>
          <w:szCs w:val="28"/>
          <w:highlight w:val="none"/>
        </w:rPr>
        <w:t>22</w:t>
      </w:r>
    </w:p>
    <w:p w14:paraId="6D1E553B">
      <w:pPr>
        <w:pStyle w:val="17"/>
        <w:spacing w:line="480" w:lineRule="auto"/>
        <w:rPr>
          <w:rFonts w:ascii="仿宋" w:hAnsi="仿宋" w:eastAsia="仿宋"/>
          <w:color w:val="auto"/>
          <w:sz w:val="28"/>
          <w:szCs w:val="28"/>
          <w:highlight w:val="none"/>
        </w:rPr>
      </w:pPr>
      <w:r>
        <w:rPr>
          <w:rFonts w:ascii="仿宋" w:hAnsi="仿宋" w:eastAsia="仿宋"/>
          <w:color w:val="auto"/>
          <w:sz w:val="28"/>
          <w:szCs w:val="28"/>
          <w:highlight w:val="none"/>
        </w:rPr>
        <w:t>第四章  合同条款及格式</w:t>
      </w:r>
      <w:r>
        <w:rPr>
          <w:rFonts w:ascii="仿宋" w:hAnsi="仿宋" w:eastAsia="仿宋"/>
          <w:color w:val="auto"/>
          <w:sz w:val="28"/>
          <w:szCs w:val="28"/>
          <w:highlight w:val="none"/>
        </w:rPr>
        <w:tab/>
      </w:r>
      <w:r>
        <w:rPr>
          <w:rFonts w:hint="eastAsia" w:ascii="仿宋" w:hAnsi="仿宋" w:eastAsia="仿宋"/>
          <w:color w:val="auto"/>
          <w:sz w:val="28"/>
          <w:szCs w:val="28"/>
          <w:highlight w:val="none"/>
        </w:rPr>
        <w:t>26</w:t>
      </w:r>
    </w:p>
    <w:p w14:paraId="5E929A76">
      <w:pPr>
        <w:pStyle w:val="17"/>
        <w:spacing w:line="480" w:lineRule="auto"/>
        <w:rPr>
          <w:rFonts w:ascii="仿宋" w:hAnsi="仿宋" w:eastAsia="仿宋"/>
          <w:color w:val="auto"/>
          <w:sz w:val="28"/>
          <w:szCs w:val="28"/>
          <w:highlight w:val="none"/>
        </w:rPr>
      </w:pPr>
      <w:r>
        <w:rPr>
          <w:rFonts w:ascii="仿宋" w:hAnsi="仿宋" w:eastAsia="仿宋"/>
          <w:color w:val="auto"/>
          <w:sz w:val="28"/>
          <w:szCs w:val="28"/>
          <w:highlight w:val="none"/>
        </w:rPr>
        <w:t>第五章  评标方法与评标标准</w:t>
      </w:r>
      <w:r>
        <w:rPr>
          <w:rFonts w:ascii="仿宋" w:hAnsi="仿宋" w:eastAsia="仿宋"/>
          <w:color w:val="auto"/>
          <w:sz w:val="28"/>
          <w:szCs w:val="28"/>
          <w:highlight w:val="none"/>
        </w:rPr>
        <w:tab/>
      </w:r>
      <w:r>
        <w:rPr>
          <w:rFonts w:hint="eastAsia" w:ascii="仿宋" w:hAnsi="仿宋" w:eastAsia="仿宋"/>
          <w:color w:val="auto"/>
          <w:sz w:val="28"/>
          <w:szCs w:val="28"/>
          <w:highlight w:val="none"/>
        </w:rPr>
        <w:t>29</w:t>
      </w:r>
    </w:p>
    <w:p w14:paraId="0C34416E">
      <w:pPr>
        <w:pStyle w:val="17"/>
        <w:spacing w:line="480" w:lineRule="auto"/>
        <w:rPr>
          <w:rFonts w:ascii="仿宋" w:hAnsi="仿宋" w:eastAsia="仿宋"/>
          <w:color w:val="auto"/>
          <w:sz w:val="28"/>
          <w:szCs w:val="28"/>
          <w:highlight w:val="none"/>
        </w:rPr>
      </w:pPr>
      <w:r>
        <w:rPr>
          <w:rFonts w:ascii="仿宋" w:hAnsi="仿宋" w:eastAsia="仿宋"/>
          <w:color w:val="auto"/>
          <w:sz w:val="28"/>
          <w:szCs w:val="28"/>
          <w:highlight w:val="none"/>
        </w:rPr>
        <w:t>第六章  响应文件格式</w:t>
      </w:r>
      <w:r>
        <w:rPr>
          <w:rFonts w:ascii="仿宋" w:hAnsi="仿宋" w:eastAsia="仿宋"/>
          <w:color w:val="auto"/>
          <w:sz w:val="28"/>
          <w:szCs w:val="28"/>
          <w:highlight w:val="none"/>
        </w:rPr>
        <w:tab/>
      </w:r>
      <w:r>
        <w:rPr>
          <w:rFonts w:hint="eastAsia" w:ascii="仿宋" w:hAnsi="仿宋" w:eastAsia="仿宋"/>
          <w:color w:val="auto"/>
          <w:sz w:val="28"/>
          <w:szCs w:val="28"/>
          <w:highlight w:val="none"/>
        </w:rPr>
        <w:t>31</w:t>
      </w:r>
    </w:p>
    <w:p w14:paraId="0DE453B5">
      <w:pPr>
        <w:pStyle w:val="17"/>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 xml:space="preserve">        友情提醒</w:t>
      </w:r>
      <w:r>
        <w:rPr>
          <w:rFonts w:ascii="仿宋" w:hAnsi="仿宋" w:eastAsia="仿宋"/>
          <w:color w:val="auto"/>
          <w:sz w:val="28"/>
          <w:szCs w:val="28"/>
          <w:highlight w:val="none"/>
        </w:rPr>
        <w:tab/>
      </w: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en-US" w:eastAsia="zh-CN"/>
        </w:rPr>
        <w:t>4</w:t>
      </w:r>
    </w:p>
    <w:p w14:paraId="3B28800E">
      <w:pPr>
        <w:pStyle w:val="17"/>
        <w:spacing w:line="480" w:lineRule="auto"/>
        <w:rPr>
          <w:rFonts w:ascii="仿宋" w:hAnsi="仿宋" w:eastAsia="仿宋"/>
          <w:color w:val="auto"/>
          <w:sz w:val="28"/>
          <w:szCs w:val="28"/>
          <w:highlight w:val="none"/>
        </w:rPr>
      </w:pPr>
    </w:p>
    <w:p w14:paraId="5C33034A">
      <w:pPr>
        <w:pStyle w:val="17"/>
        <w:spacing w:line="480" w:lineRule="auto"/>
        <w:rPr>
          <w:rFonts w:ascii="仿宋" w:hAnsi="仿宋" w:eastAsia="仿宋"/>
          <w:color w:val="auto"/>
          <w:sz w:val="28"/>
          <w:szCs w:val="28"/>
          <w:highlight w:val="none"/>
        </w:rPr>
      </w:pPr>
      <w:r>
        <w:rPr>
          <w:rFonts w:ascii="仿宋" w:hAnsi="仿宋" w:eastAsia="仿宋"/>
          <w:color w:val="auto"/>
          <w:sz w:val="28"/>
          <w:szCs w:val="28"/>
          <w:highlight w:val="none"/>
        </w:rPr>
        <w:fldChar w:fldCharType="end"/>
      </w:r>
    </w:p>
    <w:p w14:paraId="51B377F0">
      <w:pPr>
        <w:spacing w:before="100" w:after="240" w:line="500" w:lineRule="exact"/>
        <w:jc w:val="center"/>
        <w:rPr>
          <w:rFonts w:ascii="宋体" w:hAnsi="宋体"/>
          <w:b/>
          <w:color w:val="auto"/>
          <w:sz w:val="32"/>
          <w:highlight w:val="none"/>
        </w:rPr>
      </w:pPr>
    </w:p>
    <w:p w14:paraId="44DF5216">
      <w:pPr>
        <w:spacing w:before="100" w:after="240" w:line="500" w:lineRule="exact"/>
        <w:jc w:val="center"/>
        <w:rPr>
          <w:rFonts w:ascii="宋体" w:hAnsi="宋体"/>
          <w:b/>
          <w:color w:val="auto"/>
          <w:sz w:val="32"/>
          <w:highlight w:val="none"/>
        </w:rPr>
      </w:pPr>
    </w:p>
    <w:p w14:paraId="08647BA3">
      <w:pPr>
        <w:spacing w:before="100" w:after="240" w:line="500" w:lineRule="exact"/>
        <w:rPr>
          <w:rFonts w:ascii="宋体" w:hAnsi="宋体"/>
          <w:b/>
          <w:color w:val="auto"/>
          <w:sz w:val="32"/>
          <w:highlight w:val="none"/>
        </w:rPr>
      </w:pPr>
    </w:p>
    <w:p w14:paraId="13EFF745">
      <w:pPr>
        <w:spacing w:line="480" w:lineRule="auto"/>
        <w:outlineLvl w:val="0"/>
        <w:rPr>
          <w:rFonts w:ascii="仿宋" w:hAnsi="仿宋" w:eastAsia="仿宋"/>
          <w:b/>
          <w:color w:val="auto"/>
          <w:sz w:val="44"/>
          <w:szCs w:val="21"/>
          <w:highlight w:val="none"/>
        </w:rPr>
      </w:pPr>
      <w:bookmarkStart w:id="1" w:name="_Toc463253081"/>
      <w:bookmarkStart w:id="2" w:name="_Toc401414764"/>
    </w:p>
    <w:p w14:paraId="7324FEFD">
      <w:pPr>
        <w:pStyle w:val="21"/>
        <w:ind w:firstLine="883"/>
        <w:rPr>
          <w:rFonts w:ascii="仿宋" w:hAnsi="仿宋" w:eastAsia="仿宋"/>
          <w:b/>
          <w:color w:val="auto"/>
          <w:sz w:val="44"/>
          <w:szCs w:val="21"/>
          <w:highlight w:val="none"/>
        </w:rPr>
      </w:pPr>
    </w:p>
    <w:p w14:paraId="6F49A53F">
      <w:pPr>
        <w:rPr>
          <w:rFonts w:ascii="仿宋" w:hAnsi="仿宋" w:eastAsia="仿宋"/>
          <w:b/>
          <w:color w:val="auto"/>
          <w:sz w:val="44"/>
          <w:szCs w:val="21"/>
          <w:highlight w:val="none"/>
        </w:rPr>
      </w:pPr>
    </w:p>
    <w:p w14:paraId="29CFA6A9">
      <w:pPr>
        <w:pStyle w:val="21"/>
        <w:ind w:firstLine="883"/>
        <w:rPr>
          <w:rFonts w:ascii="仿宋" w:hAnsi="仿宋" w:eastAsia="仿宋"/>
          <w:b/>
          <w:color w:val="auto"/>
          <w:sz w:val="44"/>
          <w:szCs w:val="21"/>
          <w:highlight w:val="none"/>
        </w:rPr>
      </w:pPr>
    </w:p>
    <w:p w14:paraId="78BFFB7B">
      <w:pPr>
        <w:rPr>
          <w:rFonts w:ascii="仿宋" w:hAnsi="仿宋" w:eastAsia="仿宋"/>
          <w:b/>
          <w:color w:val="auto"/>
          <w:sz w:val="44"/>
          <w:szCs w:val="21"/>
          <w:highlight w:val="none"/>
        </w:rPr>
      </w:pPr>
    </w:p>
    <w:p w14:paraId="7E5A0B08">
      <w:pPr>
        <w:spacing w:line="480" w:lineRule="auto"/>
        <w:outlineLvl w:val="0"/>
        <w:rPr>
          <w:rFonts w:ascii="仿宋" w:hAnsi="仿宋" w:eastAsia="仿宋"/>
          <w:b/>
          <w:color w:val="auto"/>
          <w:sz w:val="44"/>
          <w:szCs w:val="21"/>
          <w:highlight w:val="none"/>
        </w:rPr>
        <w:sectPr>
          <w:headerReference r:id="rId3" w:type="default"/>
          <w:footerReference r:id="rId4" w:type="default"/>
          <w:pgSz w:w="11906" w:h="16838"/>
          <w:pgMar w:top="1134" w:right="1134" w:bottom="1134" w:left="1417" w:header="851" w:footer="992" w:gutter="0"/>
          <w:pgNumType w:fmt="numberInDash" w:start="1"/>
          <w:cols w:space="720" w:num="1"/>
          <w:docGrid w:type="lines" w:linePitch="312" w:charSpace="0"/>
        </w:sectPr>
      </w:pPr>
    </w:p>
    <w:p w14:paraId="3EB6FAAE">
      <w:pPr>
        <w:spacing w:line="480" w:lineRule="auto"/>
        <w:jc w:val="center"/>
        <w:outlineLvl w:val="0"/>
        <w:rPr>
          <w:rFonts w:ascii="仿宋" w:hAnsi="仿宋" w:eastAsia="仿宋" w:cs="仿宋"/>
          <w:b/>
          <w:color w:val="auto"/>
          <w:sz w:val="44"/>
          <w:szCs w:val="21"/>
          <w:highlight w:val="none"/>
        </w:rPr>
      </w:pPr>
      <w:r>
        <w:rPr>
          <w:rFonts w:hint="eastAsia" w:ascii="仿宋" w:hAnsi="仿宋" w:eastAsia="仿宋" w:cs="仿宋"/>
          <w:b/>
          <w:color w:val="auto"/>
          <w:sz w:val="44"/>
          <w:szCs w:val="21"/>
          <w:highlight w:val="none"/>
        </w:rPr>
        <w:t>第一章  竞争性磋商公告</w:t>
      </w:r>
      <w:bookmarkEnd w:id="1"/>
      <w:bookmarkEnd w:id="2"/>
    </w:p>
    <w:p w14:paraId="38725A58">
      <w:pPr>
        <w:rPr>
          <w:rFonts w:ascii="仿宋" w:hAnsi="仿宋" w:eastAsia="仿宋" w:cs="仿宋"/>
          <w:color w:val="auto"/>
          <w:highlight w:val="none"/>
        </w:rPr>
      </w:pPr>
    </w:p>
    <w:p w14:paraId="6E940670">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27CE64E1">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(溧阳市人民医院一站式预约管理平台项目) 采购项目的潜在供应商应在（常州市溧阳市昆仑街道泓口路333号苏华国际广场19楼08室中宇财务室）获取采购文件，并于2025年01月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日下午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点00分00秒（北京时间）前提交响应文件。</w:t>
      </w:r>
    </w:p>
    <w:p w14:paraId="33D5FEB0">
      <w:pPr>
        <w:pStyle w:val="3"/>
        <w:spacing w:line="360" w:lineRule="auto"/>
        <w:rPr>
          <w:rFonts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一、项目基本情况：</w:t>
      </w:r>
    </w:p>
    <w:p w14:paraId="70CC0818">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项目编号：ZYJS-SC2025007</w:t>
      </w:r>
    </w:p>
    <w:p w14:paraId="39B6848E">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项目名称：一站式预约管理平台项目</w:t>
      </w:r>
    </w:p>
    <w:p w14:paraId="5C37C097">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采购方式：□竞争性谈判 ☑竞争性磋商 □询价</w:t>
      </w:r>
    </w:p>
    <w:p w14:paraId="4CBF040F">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预算金额：人民币46.5万</w:t>
      </w:r>
    </w:p>
    <w:p w14:paraId="54763E08">
      <w:pPr>
        <w:pStyle w:val="21"/>
        <w:ind w:left="0" w:leftChars="0"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最高限价：人民币46.5万，供应商的报价不得高于最高限价，否则作为无效响应处理。</w:t>
      </w:r>
    </w:p>
    <w:p w14:paraId="44D9AAA4">
      <w:pPr>
        <w:ind w:firstLine="560" w:firstLineChars="200"/>
        <w:rPr>
          <w:color w:val="auto"/>
          <w:highlight w:val="none"/>
        </w:rPr>
      </w:pPr>
      <w:r>
        <w:rPr>
          <w:rFonts w:hint="eastAsia" w:ascii="仿宋" w:hAnsi="仿宋" w:eastAsia="仿宋" w:cs="仿宋"/>
          <w:color w:val="auto"/>
          <w:sz w:val="28"/>
          <w:szCs w:val="28"/>
          <w:highlight w:val="none"/>
        </w:rPr>
        <w:t>采购需求：溧阳市人民医院一站式预约管理平台项目，本次申请建设的一站式预约管理系统，能够将医院各检查科室检查项目进行统一管理，通过诊间预约、预约中心预约（集中预约）、自助预约、手机预约、全自动预约等多种方式，采用动态规划算法、运筹学最短路径等算法自动规划预约时间，使患者可以在最短的时间内完成预约、检查，实现资源利用与管理。</w:t>
      </w:r>
    </w:p>
    <w:p w14:paraId="74CB5580">
      <w:pPr>
        <w:numPr>
          <w:ilvl w:val="255"/>
          <w:numId w:val="0"/>
        </w:numPr>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合同履约期限：合同签订后100个日历</w:t>
      </w:r>
      <w:r>
        <w:rPr>
          <w:rFonts w:hint="eastAsia" w:ascii="仿宋" w:hAnsi="仿宋" w:eastAsia="仿宋" w:cs="仿宋"/>
          <w:color w:val="auto"/>
          <w:sz w:val="28"/>
          <w:szCs w:val="28"/>
          <w:highlight w:val="none"/>
          <w:lang w:val="en-US" w:eastAsia="zh-CN"/>
        </w:rPr>
        <w:t>日</w:t>
      </w:r>
      <w:r>
        <w:rPr>
          <w:rFonts w:hint="eastAsia" w:ascii="仿宋" w:hAnsi="仿宋" w:eastAsia="仿宋" w:cs="仿宋"/>
          <w:color w:val="auto"/>
          <w:sz w:val="28"/>
          <w:szCs w:val="28"/>
          <w:highlight w:val="none"/>
        </w:rPr>
        <w:t>调试完毕，验收合格，交付采购人正常使用。</w:t>
      </w:r>
    </w:p>
    <w:p w14:paraId="12E46DE8">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i/>
          <w:color w:val="auto"/>
          <w:sz w:val="28"/>
          <w:szCs w:val="28"/>
          <w:highlight w:val="none"/>
        </w:rPr>
        <w:t>否</w:t>
      </w:r>
      <w:r>
        <w:rPr>
          <w:rFonts w:hint="eastAsia" w:ascii="仿宋" w:hAnsi="仿宋" w:eastAsia="仿宋" w:cs="仿宋"/>
          <w:color w:val="auto"/>
          <w:sz w:val="28"/>
          <w:szCs w:val="28"/>
          <w:highlight w:val="none"/>
        </w:rPr>
        <w:t>）接受联合体。否</w:t>
      </w:r>
    </w:p>
    <w:p w14:paraId="107C8D73">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二、申请人的资格要求：</w:t>
      </w:r>
    </w:p>
    <w:p w14:paraId="4B36E723">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1.具有独立承担民事责任能力的法人或其他组织，提供有效的营业执照副本；</w:t>
      </w:r>
    </w:p>
    <w:p w14:paraId="6428B5B0">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2.具有良好的商业信誉和健全的财务会计制度；资产运营良好，不存在因借贷、担保等可能影响供应商履行本招标项目的情况，具有良好的经营业绩，有提供优质服务的能力；</w:t>
      </w:r>
    </w:p>
    <w:p w14:paraId="18779DB0">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3.具有履行合同所必需的设备和专业技术能力；</w:t>
      </w:r>
    </w:p>
    <w:p w14:paraId="01D7CAF1">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4.有依法缴纳税收和社会保障资金的良好记录；</w:t>
      </w:r>
    </w:p>
    <w:p w14:paraId="1F1D318B">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5.未被“信用中国”网站（WWW.creditchina.gov.cn）列入失信被执行人、重大税收违法案件当事人名单、政府采购严重失信行为记录名单；</w:t>
      </w:r>
    </w:p>
    <w:p w14:paraId="4ECB7B6F">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6.参加招标活动前二年内，在经营活动中无重大违法记录或无不良行为记录（如该记录对禁止参与招投标活动有明确规定的，则从其规定）；</w:t>
      </w:r>
    </w:p>
    <w:p w14:paraId="047A5A6D">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7.无其他法律、行政法规规定的禁止参与招投标活动的行为；</w:t>
      </w:r>
    </w:p>
    <w:p w14:paraId="0FB33C59">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8.单位负责人为同一人或者存在直接控股、管理关系的不同供应商，不得参加同一合同项下的采购活动；与采购人存在利害关系可能影响招标公正性的法人、其他组织，不得参加投标；</w:t>
      </w:r>
    </w:p>
    <w:p w14:paraId="02FA2B1D">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9.提供供应商为磋商代表（法定代表人或委托代理人）缴纳的2024年10月-12月连续三个月的社保缴纳证明材料加盖社保部门签章或电子签章；</w:t>
      </w:r>
    </w:p>
    <w:p w14:paraId="6E37800E">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10.本项目不接受联合体形式。</w:t>
      </w:r>
    </w:p>
    <w:p w14:paraId="398F7B6A">
      <w:pPr>
        <w:pStyle w:val="3"/>
        <w:spacing w:line="360" w:lineRule="auto"/>
        <w:rPr>
          <w:rFonts w:ascii="仿宋" w:hAnsi="仿宋" w:eastAsia="仿宋" w:cs="仿宋"/>
          <w:bCs w:val="0"/>
          <w:color w:val="auto"/>
          <w:sz w:val="28"/>
          <w:szCs w:val="28"/>
          <w:highlight w:val="none"/>
        </w:rPr>
      </w:pPr>
      <w:bookmarkStart w:id="3" w:name="_Toc35393631"/>
      <w:bookmarkStart w:id="4" w:name="_Toc35393800"/>
      <w:bookmarkStart w:id="5" w:name="_Toc28359091"/>
      <w:bookmarkStart w:id="6" w:name="_Toc28359014"/>
      <w:r>
        <w:rPr>
          <w:rFonts w:hint="eastAsia" w:ascii="仿宋" w:hAnsi="仿宋" w:eastAsia="仿宋" w:cs="仿宋"/>
          <w:bCs w:val="0"/>
          <w:color w:val="auto"/>
          <w:sz w:val="28"/>
          <w:szCs w:val="28"/>
          <w:highlight w:val="none"/>
        </w:rPr>
        <w:t>三、获取采购文件</w:t>
      </w:r>
      <w:bookmarkEnd w:id="3"/>
      <w:bookmarkEnd w:id="4"/>
    </w:p>
    <w:p w14:paraId="27B233EF">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日至 2025年01月</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日</w:t>
      </w:r>
      <w:r>
        <w:rPr>
          <w:rFonts w:hint="eastAsia" w:ascii="仿宋" w:hAnsi="仿宋" w:eastAsia="仿宋" w:cs="仿宋"/>
          <w:iCs/>
          <w:color w:val="auto"/>
          <w:sz w:val="28"/>
          <w:szCs w:val="28"/>
          <w:highlight w:val="none"/>
        </w:rPr>
        <w:t>（</w:t>
      </w:r>
      <w:r>
        <w:rPr>
          <w:rFonts w:hint="eastAsia" w:ascii="仿宋" w:hAnsi="仿宋" w:eastAsia="仿宋" w:cs="仿宋"/>
          <w:i/>
          <w:color w:val="auto"/>
          <w:sz w:val="28"/>
          <w:szCs w:val="28"/>
          <w:highlight w:val="none"/>
        </w:rPr>
        <w:t>磋商文件的发售期限自开始之日起不得少于5个工作日</w:t>
      </w:r>
      <w:r>
        <w:rPr>
          <w:rFonts w:hint="eastAsia" w:ascii="仿宋" w:hAnsi="仿宋" w:eastAsia="仿宋" w:cs="仿宋"/>
          <w:iCs/>
          <w:color w:val="auto"/>
          <w:sz w:val="28"/>
          <w:szCs w:val="28"/>
          <w:highlight w:val="none"/>
        </w:rPr>
        <w:t>）</w:t>
      </w:r>
      <w:r>
        <w:rPr>
          <w:rFonts w:hint="eastAsia" w:ascii="仿宋" w:hAnsi="仿宋" w:eastAsia="仿宋" w:cs="仿宋"/>
          <w:color w:val="auto"/>
          <w:sz w:val="28"/>
          <w:szCs w:val="28"/>
          <w:highlight w:val="none"/>
        </w:rPr>
        <w:t>每天上午8:30至11：30，下午13:30至17:00（北京时间，法定节假日除外）</w:t>
      </w:r>
    </w:p>
    <w:p w14:paraId="3FB3FD57">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地点：常州市溧阳市昆仑街道泓口路333号苏华国际广场19楼08室中宇财务室</w:t>
      </w:r>
    </w:p>
    <w:p w14:paraId="71DA49D9">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方式：（供应商可采取以下任一种方式获取磋商文件）</w:t>
      </w:r>
    </w:p>
    <w:p w14:paraId="35043114">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(1)线下获取：将材料扫描发至本公司邮箱“zhongyuliyang111@163.com”并按要求交纳采购文件费用后，采购文件以邮件形式发送至供应商邮箱。</w:t>
      </w:r>
    </w:p>
    <w:p w14:paraId="2393B8BB">
      <w:pPr>
        <w:spacing w:line="360" w:lineRule="auto"/>
        <w:ind w:firstLine="54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(2)现场报名：磋商文件现场购买地点：常州市溧阳市昆仑街道泓口路333号苏华国际广场19楼08室中宇财务室。</w:t>
      </w:r>
    </w:p>
    <w:p w14:paraId="1EBD3A05">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售价：人民币伍佰元/份，从企业账户缴入代理机构银行账户或现场报名缴纳，缴款时请备注项目编号，采购文件售后一概不退。潜在供应商须在上述规定截止时间前将标书款缴入以下专用账户，禁止第三方代缴。未按规定获取采购文件的供应商不得参与投标。供应商获取采购文件时应提供如下材料：</w:t>
      </w:r>
    </w:p>
    <w:p w14:paraId="6FAC8DD7">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供应商登记表（格式见公告附件1）</w:t>
      </w:r>
    </w:p>
    <w:p w14:paraId="48CF6996">
      <w:pPr>
        <w:widowControl/>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报名费专用帐户：</w:t>
      </w:r>
    </w:p>
    <w:p w14:paraId="299537F7">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户 名：常州中宇建设工程管理有限公司</w:t>
      </w:r>
    </w:p>
    <w:p w14:paraId="796F794C">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开户银行：江南农村商业银行中关村支行</w:t>
      </w:r>
    </w:p>
    <w:p w14:paraId="18E08689">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开户行行号：314304381397 </w:t>
      </w:r>
    </w:p>
    <w:p w14:paraId="170EEFA3">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账 号：1225300000009045</w:t>
      </w:r>
    </w:p>
    <w:p w14:paraId="51DB1569">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供应商获取磋商文件时应提供如下材料：</w:t>
      </w:r>
    </w:p>
    <w:p w14:paraId="7B4C8229">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（1）供应商登记表（格式见公告附件1）</w:t>
      </w:r>
    </w:p>
    <w:p w14:paraId="1EC27115">
      <w:pPr>
        <w:spacing w:line="360" w:lineRule="auto"/>
        <w:ind w:firstLine="54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财务室电话（查询标书款）：0519-87252266</w:t>
      </w:r>
    </w:p>
    <w:p w14:paraId="41CD74FE">
      <w:pPr>
        <w:pStyle w:val="3"/>
        <w:spacing w:line="360" w:lineRule="auto"/>
        <w:rPr>
          <w:rFonts w:ascii="仿宋" w:hAnsi="仿宋" w:eastAsia="仿宋" w:cs="仿宋"/>
          <w:bCs w:val="0"/>
          <w:color w:val="auto"/>
          <w:sz w:val="28"/>
          <w:szCs w:val="28"/>
          <w:highlight w:val="none"/>
        </w:rPr>
      </w:pPr>
      <w:bookmarkStart w:id="7" w:name="_Toc35393632"/>
      <w:bookmarkStart w:id="8" w:name="_Toc28359092"/>
      <w:bookmarkStart w:id="9" w:name="_Toc35393801"/>
      <w:bookmarkStart w:id="10" w:name="_Toc28359015"/>
      <w:r>
        <w:rPr>
          <w:rFonts w:hint="eastAsia" w:ascii="仿宋" w:hAnsi="仿宋" w:eastAsia="仿宋" w:cs="仿宋"/>
          <w:bCs w:val="0"/>
          <w:color w:val="auto"/>
          <w:sz w:val="28"/>
          <w:szCs w:val="28"/>
          <w:highlight w:val="none"/>
        </w:rPr>
        <w:t>四、响应文件提交</w:t>
      </w:r>
      <w:bookmarkEnd w:id="7"/>
      <w:bookmarkEnd w:id="8"/>
      <w:bookmarkEnd w:id="9"/>
      <w:bookmarkEnd w:id="10"/>
    </w:p>
    <w:p w14:paraId="0B0CB69C">
      <w:pPr>
        <w:ind w:firstLine="560" w:firstLineChars="20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截止时间：2025年01月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日下午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点00分00秒（北京时间）</w:t>
      </w:r>
    </w:p>
    <w:p w14:paraId="46111D1A">
      <w:pPr>
        <w:ind w:firstLine="560" w:firstLineChars="20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地点：常州市溧阳市昆仑街道泓口路333号苏华国际广场19楼08室</w:t>
      </w:r>
    </w:p>
    <w:p w14:paraId="14993489">
      <w:pPr>
        <w:pStyle w:val="3"/>
        <w:spacing w:line="360" w:lineRule="auto"/>
        <w:rPr>
          <w:rFonts w:ascii="仿宋" w:hAnsi="仿宋" w:eastAsia="仿宋" w:cs="仿宋"/>
          <w:bCs w:val="0"/>
          <w:color w:val="auto"/>
          <w:sz w:val="28"/>
          <w:szCs w:val="28"/>
          <w:highlight w:val="none"/>
        </w:rPr>
      </w:pPr>
      <w:bookmarkStart w:id="11" w:name="_Toc35393633"/>
      <w:bookmarkStart w:id="12" w:name="_Toc35393802"/>
      <w:bookmarkStart w:id="13" w:name="_Toc28359093"/>
      <w:bookmarkStart w:id="14" w:name="_Toc28359016"/>
      <w:r>
        <w:rPr>
          <w:rFonts w:hint="eastAsia" w:ascii="仿宋" w:hAnsi="仿宋" w:eastAsia="仿宋" w:cs="仿宋"/>
          <w:bCs w:val="0"/>
          <w:color w:val="auto"/>
          <w:sz w:val="28"/>
          <w:szCs w:val="28"/>
          <w:highlight w:val="none"/>
        </w:rPr>
        <w:t>五、开启（</w:t>
      </w:r>
      <w:r>
        <w:rPr>
          <w:rFonts w:hint="eastAsia" w:ascii="仿宋" w:hAnsi="仿宋" w:eastAsia="仿宋" w:cs="仿宋"/>
          <w:bCs w:val="0"/>
          <w:i/>
          <w:color w:val="auto"/>
          <w:sz w:val="28"/>
          <w:szCs w:val="28"/>
          <w:highlight w:val="none"/>
        </w:rPr>
        <w:t>竞争性磋商方式必须填写</w:t>
      </w:r>
      <w:r>
        <w:rPr>
          <w:rFonts w:hint="eastAsia" w:ascii="仿宋" w:hAnsi="仿宋" w:eastAsia="仿宋" w:cs="仿宋"/>
          <w:bCs w:val="0"/>
          <w:color w:val="auto"/>
          <w:sz w:val="28"/>
          <w:szCs w:val="28"/>
          <w:highlight w:val="none"/>
        </w:rPr>
        <w:t>）</w:t>
      </w:r>
      <w:bookmarkEnd w:id="11"/>
      <w:bookmarkEnd w:id="12"/>
      <w:bookmarkEnd w:id="13"/>
      <w:bookmarkEnd w:id="14"/>
    </w:p>
    <w:p w14:paraId="349C679C">
      <w:pPr>
        <w:ind w:firstLine="560" w:firstLineChars="20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时间：2025年01月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日下午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点00分00秒（北京时间）</w:t>
      </w:r>
    </w:p>
    <w:p w14:paraId="01BD97E5">
      <w:pPr>
        <w:ind w:firstLine="560" w:firstLineChars="200"/>
        <w:rPr>
          <w:rFonts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地点：常州市溧阳市昆仑街道泓口路333号苏华国际广场19楼08室</w:t>
      </w:r>
    </w:p>
    <w:p w14:paraId="772A2720">
      <w:pPr>
        <w:pStyle w:val="3"/>
        <w:spacing w:line="360" w:lineRule="auto"/>
        <w:rPr>
          <w:rFonts w:ascii="仿宋" w:hAnsi="仿宋" w:eastAsia="仿宋" w:cs="仿宋"/>
          <w:bCs w:val="0"/>
          <w:color w:val="auto"/>
          <w:sz w:val="28"/>
          <w:szCs w:val="28"/>
          <w:highlight w:val="none"/>
        </w:rPr>
      </w:pPr>
      <w:bookmarkStart w:id="15" w:name="_Toc28359017"/>
      <w:bookmarkStart w:id="16" w:name="_Toc35393803"/>
      <w:bookmarkStart w:id="17" w:name="_Toc35393634"/>
      <w:bookmarkStart w:id="18" w:name="_Toc28359094"/>
      <w:r>
        <w:rPr>
          <w:rFonts w:hint="eastAsia" w:ascii="仿宋" w:hAnsi="仿宋" w:eastAsia="仿宋" w:cs="仿宋"/>
          <w:bCs w:val="0"/>
          <w:color w:val="auto"/>
          <w:sz w:val="28"/>
          <w:szCs w:val="28"/>
          <w:highlight w:val="none"/>
        </w:rPr>
        <w:t>六、公告期限</w:t>
      </w:r>
      <w:bookmarkEnd w:id="15"/>
      <w:bookmarkEnd w:id="16"/>
      <w:bookmarkEnd w:id="17"/>
      <w:bookmarkEnd w:id="18"/>
    </w:p>
    <w:p w14:paraId="2A786602">
      <w:pPr>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5F2E64F8">
      <w:pPr>
        <w:pStyle w:val="3"/>
        <w:spacing w:line="360" w:lineRule="auto"/>
        <w:rPr>
          <w:rFonts w:ascii="仿宋" w:hAnsi="仿宋" w:eastAsia="仿宋" w:cs="仿宋"/>
          <w:bCs w:val="0"/>
          <w:color w:val="auto"/>
          <w:sz w:val="28"/>
          <w:szCs w:val="28"/>
          <w:highlight w:val="none"/>
        </w:rPr>
      </w:pPr>
      <w:bookmarkStart w:id="19" w:name="_Toc35393804"/>
      <w:bookmarkStart w:id="20" w:name="_Toc35393635"/>
      <w:r>
        <w:rPr>
          <w:rFonts w:hint="eastAsia" w:ascii="仿宋" w:hAnsi="仿宋" w:eastAsia="仿宋" w:cs="仿宋"/>
          <w:bCs w:val="0"/>
          <w:color w:val="auto"/>
          <w:sz w:val="28"/>
          <w:szCs w:val="28"/>
          <w:highlight w:val="none"/>
        </w:rPr>
        <w:t>七、其他补充事宜</w:t>
      </w:r>
      <w:bookmarkEnd w:id="19"/>
      <w:bookmarkEnd w:id="20"/>
    </w:p>
    <w:bookmarkEnd w:id="5"/>
    <w:bookmarkEnd w:id="6"/>
    <w:p w14:paraId="63DE25A0">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1.现场踏勘：供应商可以在报名截止时间前自行安排人员至现场踏勘了解项目情况，在成交后不得以未踏勘现场为由向采购人提出其他任何要求。</w:t>
      </w:r>
    </w:p>
    <w:p w14:paraId="337DB3E5">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2.澄清：</w:t>
      </w:r>
    </w:p>
    <w:p w14:paraId="2075DDAE">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①对竞争性磋商文件有澄清或疑问的供应商，均应在20</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日17：30 前按竞争性磋商公告中的通讯地址，将疑问内容一次性以书面形式并加盖公章送达采购代理机构，否则视为无有效澄清或疑问。</w:t>
      </w:r>
    </w:p>
    <w:p w14:paraId="428696F5">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②有关本次采购的事项若存在变动或修改，采购代理机构将通过补充或更正形式在本机构网站上发布，因未能及时了解相关最新信息所引起的投标失误责任由供应商自负。</w:t>
      </w:r>
    </w:p>
    <w:p w14:paraId="45F6844C">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3.响应文件制作份数要求：</w:t>
      </w:r>
    </w:p>
    <w:p w14:paraId="32917427">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正本份数：1份，副本份数：2份；响应文件应按顺序胶装成册，并编制响应文件目录索引。不论供应商成交与否，响应文件均不退回。</w:t>
      </w:r>
    </w:p>
    <w:p w14:paraId="7BA4423F">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4、磋商保证金要求</w:t>
      </w:r>
    </w:p>
    <w:p w14:paraId="37E80801">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①</w:t>
      </w:r>
      <w:r>
        <w:rPr>
          <w:rFonts w:hint="eastAsia" w:ascii="仿宋" w:hAnsi="仿宋" w:eastAsia="仿宋" w:cs="宋体"/>
          <w:color w:val="auto"/>
          <w:kern w:val="0"/>
          <w:sz w:val="28"/>
          <w:szCs w:val="28"/>
          <w:highlight w:val="none"/>
        </w:rPr>
        <w:t>磋商保证金专用帐户：</w:t>
      </w:r>
    </w:p>
    <w:p w14:paraId="1BB0D0A4">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户   名：常州中宇建设工程管理有限公司</w:t>
      </w:r>
    </w:p>
    <w:p w14:paraId="22B3BD64">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开户银行：江南农村商业银行中关村支行</w:t>
      </w:r>
    </w:p>
    <w:p w14:paraId="56CB7C74">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开户行行号：314304381397 </w:t>
      </w:r>
    </w:p>
    <w:p w14:paraId="4EA910C4">
      <w:pPr>
        <w:spacing w:line="360" w:lineRule="auto"/>
        <w:ind w:firstLine="5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账   号：1225300000009045</w:t>
      </w:r>
    </w:p>
    <w:p w14:paraId="1FFC8286">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②</w:t>
      </w:r>
      <w:r>
        <w:rPr>
          <w:rFonts w:hint="eastAsia" w:ascii="仿宋" w:hAnsi="仿宋" w:eastAsia="仿宋" w:cs="宋体"/>
          <w:color w:val="auto"/>
          <w:kern w:val="0"/>
          <w:sz w:val="28"/>
          <w:szCs w:val="28"/>
          <w:highlight w:val="none"/>
        </w:rPr>
        <w:t>磋商保证金到账截止时间：</w:t>
      </w:r>
      <w:r>
        <w:rPr>
          <w:rFonts w:hint="eastAsia" w:ascii="仿宋" w:hAnsi="仿宋" w:eastAsia="仿宋" w:cs="宋体"/>
          <w:color w:val="auto"/>
          <w:kern w:val="0"/>
          <w:sz w:val="28"/>
          <w:szCs w:val="28"/>
          <w:highlight w:val="none"/>
          <w:u w:val="single"/>
        </w:rPr>
        <w:t>同响应文件接收截止时间</w:t>
      </w:r>
    </w:p>
    <w:p w14:paraId="7F1628B6">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宋体"/>
          <w:color w:val="auto"/>
          <w:kern w:val="0"/>
          <w:sz w:val="28"/>
          <w:szCs w:val="28"/>
          <w:highlight w:val="none"/>
        </w:rPr>
        <w:t>磋商保证金金额（人民币）：</w:t>
      </w:r>
      <w:r>
        <w:rPr>
          <w:rFonts w:hint="eastAsia" w:ascii="仿宋" w:hAnsi="仿宋" w:eastAsia="仿宋" w:cs="宋体"/>
          <w:color w:val="auto"/>
          <w:kern w:val="0"/>
          <w:sz w:val="28"/>
          <w:szCs w:val="28"/>
          <w:highlight w:val="none"/>
          <w:u w:val="single"/>
        </w:rPr>
        <w:t>0元</w:t>
      </w:r>
    </w:p>
    <w:p w14:paraId="7B2A4C00">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仿宋"/>
          <w:color w:val="auto"/>
          <w:sz w:val="28"/>
          <w:szCs w:val="28"/>
          <w:highlight w:val="none"/>
        </w:rPr>
        <w:t>④</w:t>
      </w:r>
      <w:r>
        <w:rPr>
          <w:rFonts w:hint="eastAsia" w:ascii="仿宋" w:hAnsi="仿宋" w:eastAsia="仿宋" w:cs="宋体"/>
          <w:color w:val="auto"/>
          <w:kern w:val="0"/>
          <w:sz w:val="28"/>
          <w:szCs w:val="28"/>
          <w:highlight w:val="none"/>
        </w:rPr>
        <w:t>报名单位须在第2条规定截止时间前将磋商保证金从企业账户缴入磋商保证金专用账户，拒绝以其它方式缴纳，禁止第三方代缴保证金。供应商应充分考虑磋商保证金在途时间，确保磋商保证金在到账截止时间前到达磋商保证金专用帐户。</w:t>
      </w:r>
    </w:p>
    <w:p w14:paraId="48536670">
      <w:pPr>
        <w:spacing w:line="360" w:lineRule="auto"/>
        <w:ind w:firstLine="560" w:firstLineChars="200"/>
        <w:rPr>
          <w:rFonts w:ascii="仿宋" w:hAnsi="仿宋" w:eastAsia="仿宋" w:cs="宋体"/>
          <w:color w:val="auto"/>
          <w:kern w:val="0"/>
          <w:sz w:val="28"/>
          <w:szCs w:val="28"/>
          <w:highlight w:val="none"/>
        </w:rPr>
      </w:pPr>
      <w:r>
        <w:rPr>
          <w:rFonts w:hint="eastAsia" w:ascii="仿宋" w:hAnsi="仿宋" w:eastAsia="仿宋" w:cs="仿宋"/>
          <w:color w:val="auto"/>
          <w:kern w:val="0"/>
          <w:sz w:val="28"/>
          <w:szCs w:val="28"/>
          <w:highlight w:val="none"/>
        </w:rPr>
        <w:t>⑤</w:t>
      </w:r>
      <w:r>
        <w:rPr>
          <w:rFonts w:hint="eastAsia" w:ascii="仿宋" w:hAnsi="仿宋" w:eastAsia="仿宋" w:cs="宋体"/>
          <w:color w:val="auto"/>
          <w:kern w:val="0"/>
          <w:sz w:val="28"/>
          <w:szCs w:val="28"/>
          <w:highlight w:val="none"/>
        </w:rPr>
        <w:t>未按上述4条要求提交磋商保证金的将被视为无效响应，其响应文件将被磋商小组拒绝。</w:t>
      </w:r>
    </w:p>
    <w:p w14:paraId="446BC25F">
      <w:pPr>
        <w:pStyle w:val="3"/>
        <w:spacing w:line="360" w:lineRule="auto"/>
        <w:rPr>
          <w:rFonts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八、凡对本次采购提出询问，请按以下方式联系：</w:t>
      </w:r>
    </w:p>
    <w:p w14:paraId="2974E0E0">
      <w:pPr>
        <w:widowControl/>
        <w:ind w:firstLine="560" w:firstLineChars="200"/>
        <w:jc w:val="left"/>
        <w:rPr>
          <w:rFonts w:ascii="仿宋" w:hAnsi="仿宋" w:eastAsia="仿宋" w:cs="仿宋"/>
          <w:color w:val="auto"/>
          <w:sz w:val="28"/>
          <w:szCs w:val="28"/>
          <w:highlight w:val="none"/>
        </w:rPr>
      </w:pPr>
      <w:bookmarkStart w:id="21" w:name="_Toc28359019"/>
      <w:bookmarkStart w:id="22" w:name="_Toc35393806"/>
      <w:bookmarkStart w:id="23" w:name="_Toc35393637"/>
      <w:bookmarkStart w:id="24" w:name="_Toc28359096"/>
      <w:r>
        <w:rPr>
          <w:rFonts w:hint="eastAsia" w:ascii="仿宋" w:hAnsi="仿宋" w:eastAsia="仿宋" w:cs="仿宋"/>
          <w:color w:val="auto"/>
          <w:sz w:val="28"/>
          <w:szCs w:val="28"/>
          <w:highlight w:val="none"/>
        </w:rPr>
        <w:t>　1.采购人信息</w:t>
      </w:r>
    </w:p>
    <w:p w14:paraId="6E80C62C">
      <w:pPr>
        <w:spacing w:line="360" w:lineRule="auto"/>
        <w:ind w:left="1129" w:leftChars="371" w:hanging="350" w:hangingChars="125"/>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 称：溧阳市人民医院</w:t>
      </w:r>
    </w:p>
    <w:p w14:paraId="50087AC5">
      <w:pPr>
        <w:spacing w:line="360" w:lineRule="auto"/>
        <w:ind w:left="1129" w:leftChars="371" w:hanging="350" w:hangingChars="125"/>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地址：溧阳市建设西路70号 </w:t>
      </w:r>
    </w:p>
    <w:p w14:paraId="5D64E1DA">
      <w:pPr>
        <w:spacing w:line="360" w:lineRule="auto"/>
        <w:ind w:left="1129" w:leftChars="371" w:hanging="350" w:hangingChars="125"/>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联系电话：</w:t>
      </w:r>
      <w:bookmarkStart w:id="25" w:name="_Toc28359086"/>
      <w:bookmarkStart w:id="26" w:name="_Toc28359009"/>
      <w:r>
        <w:rPr>
          <w:rFonts w:hint="eastAsia" w:ascii="仿宋" w:hAnsi="仿宋" w:eastAsia="仿宋" w:cs="仿宋"/>
          <w:color w:val="auto"/>
          <w:sz w:val="28"/>
          <w:szCs w:val="28"/>
          <w:highlight w:val="none"/>
        </w:rPr>
        <w:t xml:space="preserve">0519-68091850     </w:t>
      </w:r>
    </w:p>
    <w:p w14:paraId="13D1DE53">
      <w:pPr>
        <w:spacing w:line="360" w:lineRule="auto"/>
        <w:ind w:left="1129" w:leftChars="371" w:hanging="350" w:hangingChars="125"/>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25"/>
      <w:bookmarkEnd w:id="26"/>
    </w:p>
    <w:p w14:paraId="2C5F84C2">
      <w:pPr>
        <w:spacing w:line="360" w:lineRule="auto"/>
        <w:ind w:left="1129" w:leftChars="371" w:hanging="350" w:hangingChars="125"/>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 称：常州中宇建设工程管理有限公司</w:t>
      </w:r>
    </w:p>
    <w:p w14:paraId="3704461F">
      <w:pPr>
        <w:spacing w:line="360" w:lineRule="auto"/>
        <w:ind w:left="1129" w:leftChars="371" w:hanging="350" w:hangingChars="125"/>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址：常州市溧阳市昆仑街道泓口路333号苏华国际广场19楼08室</w:t>
      </w:r>
    </w:p>
    <w:p w14:paraId="565C292C">
      <w:pPr>
        <w:spacing w:line="360" w:lineRule="auto"/>
        <w:ind w:left="1129" w:leftChars="371" w:hanging="350" w:hangingChars="125"/>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bookmarkStart w:id="27" w:name="_Toc28359010"/>
      <w:bookmarkStart w:id="28" w:name="_Toc28359087"/>
      <w:r>
        <w:rPr>
          <w:rFonts w:hint="eastAsia" w:ascii="仿宋" w:hAnsi="仿宋" w:eastAsia="仿宋" w:cs="仿宋"/>
          <w:color w:val="auto"/>
          <w:sz w:val="28"/>
          <w:szCs w:val="28"/>
          <w:highlight w:val="none"/>
        </w:rPr>
        <w:t>0519-85782055</w:t>
      </w:r>
    </w:p>
    <w:p w14:paraId="4FF5D3E4">
      <w:pPr>
        <w:spacing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3.项目联系方式</w:t>
      </w:r>
      <w:bookmarkEnd w:id="27"/>
      <w:bookmarkEnd w:id="28"/>
    </w:p>
    <w:p w14:paraId="12562535">
      <w:pPr>
        <w:pStyle w:val="11"/>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项目联系人：左学文</w:t>
      </w:r>
    </w:p>
    <w:p w14:paraId="4C671F7D">
      <w:pPr>
        <w:spacing w:line="360" w:lineRule="auto"/>
        <w:ind w:firstLine="840" w:firstLine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话：0519-85782055</w:t>
      </w:r>
    </w:p>
    <w:bookmarkEnd w:id="21"/>
    <w:bookmarkEnd w:id="22"/>
    <w:bookmarkEnd w:id="23"/>
    <w:bookmarkEnd w:id="24"/>
    <w:p w14:paraId="713EB4D9">
      <w:pPr>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注:上述个人信息由于工作需要经机构或本人同意对外公布。</w:t>
      </w:r>
    </w:p>
    <w:p w14:paraId="7FF0988E">
      <w:pPr>
        <w:tabs>
          <w:tab w:val="left" w:pos="900"/>
        </w:tabs>
        <w:spacing w:line="360" w:lineRule="auto"/>
        <w:ind w:left="420"/>
        <w:jc w:val="center"/>
        <w:rPr>
          <w:rFonts w:ascii="仿宋" w:hAnsi="仿宋" w:eastAsia="仿宋"/>
          <w:b/>
          <w:color w:val="auto"/>
          <w:sz w:val="44"/>
          <w:szCs w:val="21"/>
          <w:highlight w:val="none"/>
        </w:rPr>
      </w:pPr>
      <w:r>
        <w:rPr>
          <w:rFonts w:hint="eastAsia" w:ascii="仿宋" w:hAnsi="仿宋" w:eastAsia="仿宋" w:cs="仿宋"/>
          <w:color w:val="auto"/>
          <w:sz w:val="28"/>
          <w:szCs w:val="28"/>
          <w:highlight w:val="none"/>
        </w:rPr>
        <w:br w:type="page"/>
      </w:r>
      <w:bookmarkStart w:id="29" w:name="_Toc463253082"/>
      <w:bookmarkStart w:id="30" w:name="_Toc401414765"/>
      <w:r>
        <w:rPr>
          <w:rFonts w:ascii="仿宋" w:hAnsi="仿宋" w:eastAsia="仿宋"/>
          <w:b/>
          <w:color w:val="auto"/>
          <w:sz w:val="44"/>
          <w:szCs w:val="21"/>
          <w:highlight w:val="none"/>
        </w:rPr>
        <w:t xml:space="preserve">第二章  </w:t>
      </w:r>
      <w:bookmarkStart w:id="31" w:name="_Toc20823274"/>
      <w:bookmarkStart w:id="32" w:name="_Toc120614213"/>
      <w:bookmarkStart w:id="33" w:name="_Toc16938518"/>
      <w:bookmarkStart w:id="34" w:name="_Toc513029202"/>
      <w:r>
        <w:rPr>
          <w:rFonts w:ascii="仿宋" w:hAnsi="仿宋" w:eastAsia="仿宋"/>
          <w:b/>
          <w:color w:val="auto"/>
          <w:sz w:val="44"/>
          <w:szCs w:val="21"/>
          <w:highlight w:val="none"/>
        </w:rPr>
        <w:t>供应商须知</w:t>
      </w:r>
      <w:bookmarkEnd w:id="29"/>
      <w:bookmarkEnd w:id="30"/>
      <w:bookmarkEnd w:id="31"/>
      <w:bookmarkEnd w:id="32"/>
      <w:bookmarkEnd w:id="33"/>
      <w:bookmarkEnd w:id="34"/>
    </w:p>
    <w:p w14:paraId="49684BCB">
      <w:pPr>
        <w:pStyle w:val="4"/>
        <w:autoSpaceDE/>
        <w:autoSpaceDN/>
        <w:adjustRightInd/>
        <w:spacing w:beforeLines="50" w:afterLines="50" w:line="360" w:lineRule="auto"/>
        <w:ind w:firstLine="498" w:firstLineChars="155"/>
        <w:jc w:val="both"/>
        <w:rPr>
          <w:rFonts w:ascii="仿宋" w:hAnsi="仿宋" w:eastAsia="仿宋"/>
          <w:bCs/>
          <w:color w:val="auto"/>
          <w:sz w:val="32"/>
          <w:szCs w:val="32"/>
          <w:highlight w:val="none"/>
          <w:u w:val="none"/>
        </w:rPr>
      </w:pPr>
      <w:bookmarkStart w:id="35" w:name="_Toc16938519"/>
      <w:bookmarkStart w:id="36" w:name="_Toc20823275"/>
      <w:bookmarkStart w:id="37" w:name="_Toc120614214"/>
      <w:bookmarkStart w:id="38" w:name="_Toc513029203"/>
      <w:r>
        <w:rPr>
          <w:rFonts w:ascii="仿宋" w:hAnsi="仿宋" w:eastAsia="仿宋"/>
          <w:bCs/>
          <w:color w:val="auto"/>
          <w:sz w:val="32"/>
          <w:szCs w:val="32"/>
          <w:highlight w:val="none"/>
          <w:u w:val="none"/>
        </w:rPr>
        <w:t>一、总则</w:t>
      </w:r>
      <w:bookmarkEnd w:id="35"/>
      <w:bookmarkEnd w:id="36"/>
      <w:bookmarkEnd w:id="37"/>
      <w:bookmarkEnd w:id="38"/>
    </w:p>
    <w:p w14:paraId="03C5CE64">
      <w:pPr>
        <w:pStyle w:val="5"/>
        <w:spacing w:before="0" w:after="0" w:line="360" w:lineRule="auto"/>
        <w:ind w:firstLine="422" w:firstLineChars="150"/>
        <w:rPr>
          <w:rFonts w:ascii="仿宋" w:hAnsi="仿宋" w:eastAsia="仿宋"/>
          <w:bCs w:val="0"/>
          <w:color w:val="auto"/>
          <w:highlight w:val="none"/>
        </w:rPr>
      </w:pPr>
      <w:bookmarkStart w:id="39" w:name="_Hlt16619475"/>
      <w:bookmarkEnd w:id="39"/>
      <w:bookmarkStart w:id="40" w:name="_Toc458694821"/>
      <w:bookmarkStart w:id="41" w:name="_Toc513029204"/>
      <w:bookmarkStart w:id="42" w:name="_Toc16938520"/>
      <w:bookmarkStart w:id="43" w:name="_Toc20823276"/>
      <w:r>
        <w:rPr>
          <w:rFonts w:ascii="仿宋" w:hAnsi="仿宋" w:eastAsia="仿宋"/>
          <w:bCs w:val="0"/>
          <w:color w:val="auto"/>
          <w:highlight w:val="none"/>
        </w:rPr>
        <w:t>1</w:t>
      </w:r>
      <w:bookmarkEnd w:id="40"/>
      <w:r>
        <w:rPr>
          <w:rFonts w:ascii="仿宋" w:hAnsi="仿宋" w:eastAsia="仿宋"/>
          <w:bCs w:val="0"/>
          <w:color w:val="auto"/>
          <w:highlight w:val="none"/>
        </w:rPr>
        <w:t>、</w:t>
      </w:r>
      <w:r>
        <w:rPr>
          <w:rFonts w:hint="eastAsia" w:ascii="仿宋" w:hAnsi="仿宋" w:eastAsia="仿宋"/>
          <w:bCs w:val="0"/>
          <w:color w:val="auto"/>
          <w:highlight w:val="none"/>
        </w:rPr>
        <w:t>采购</w:t>
      </w:r>
      <w:r>
        <w:rPr>
          <w:rFonts w:ascii="仿宋" w:hAnsi="仿宋" w:eastAsia="仿宋"/>
          <w:bCs w:val="0"/>
          <w:color w:val="auto"/>
          <w:highlight w:val="none"/>
        </w:rPr>
        <w:t>方式</w:t>
      </w:r>
      <w:bookmarkEnd w:id="41"/>
      <w:bookmarkEnd w:id="42"/>
      <w:bookmarkEnd w:id="43"/>
    </w:p>
    <w:p w14:paraId="34F9993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本次</w:t>
      </w:r>
      <w:r>
        <w:rPr>
          <w:rFonts w:hint="eastAsia" w:ascii="仿宋" w:hAnsi="仿宋" w:eastAsia="仿宋"/>
          <w:color w:val="auto"/>
          <w:sz w:val="24"/>
          <w:highlight w:val="none"/>
        </w:rPr>
        <w:t>采购</w:t>
      </w:r>
      <w:r>
        <w:rPr>
          <w:rFonts w:ascii="仿宋" w:hAnsi="仿宋" w:eastAsia="仿宋"/>
          <w:color w:val="auto"/>
          <w:sz w:val="24"/>
          <w:highlight w:val="none"/>
        </w:rPr>
        <w:t>采取</w:t>
      </w:r>
      <w:r>
        <w:rPr>
          <w:rFonts w:hint="eastAsia" w:ascii="仿宋" w:hAnsi="仿宋" w:eastAsia="仿宋"/>
          <w:color w:val="auto"/>
          <w:sz w:val="24"/>
          <w:highlight w:val="none"/>
        </w:rPr>
        <w:t>竞争性磋商</w:t>
      </w:r>
      <w:r>
        <w:rPr>
          <w:rFonts w:ascii="仿宋" w:hAnsi="仿宋" w:eastAsia="仿宋"/>
          <w:color w:val="auto"/>
          <w:sz w:val="24"/>
          <w:highlight w:val="none"/>
        </w:rPr>
        <w:t>方式，本文件仅适用于</w:t>
      </w:r>
      <w:r>
        <w:rPr>
          <w:rFonts w:hint="eastAsia" w:ascii="仿宋" w:hAnsi="仿宋" w:eastAsia="仿宋"/>
          <w:color w:val="auto"/>
          <w:sz w:val="24"/>
          <w:highlight w:val="none"/>
        </w:rPr>
        <w:t>竞争性磋商</w:t>
      </w:r>
      <w:r>
        <w:rPr>
          <w:rFonts w:ascii="仿宋" w:hAnsi="仿宋" w:eastAsia="仿宋"/>
          <w:color w:val="auto"/>
          <w:sz w:val="24"/>
          <w:highlight w:val="none"/>
        </w:rPr>
        <w:t>公告中所述</w:t>
      </w:r>
      <w:r>
        <w:rPr>
          <w:rFonts w:hint="eastAsia" w:ascii="仿宋" w:hAnsi="仿宋" w:eastAsia="仿宋"/>
          <w:color w:val="auto"/>
          <w:sz w:val="24"/>
          <w:highlight w:val="none"/>
        </w:rPr>
        <w:t>项目</w:t>
      </w:r>
      <w:r>
        <w:rPr>
          <w:rFonts w:ascii="仿宋" w:hAnsi="仿宋" w:eastAsia="仿宋"/>
          <w:color w:val="auto"/>
          <w:sz w:val="24"/>
          <w:highlight w:val="none"/>
        </w:rPr>
        <w:t>。</w:t>
      </w:r>
    </w:p>
    <w:p w14:paraId="046EF935">
      <w:pPr>
        <w:pStyle w:val="5"/>
        <w:spacing w:before="0" w:after="0" w:line="360" w:lineRule="auto"/>
        <w:ind w:firstLine="422" w:firstLineChars="150"/>
        <w:rPr>
          <w:rFonts w:ascii="仿宋" w:hAnsi="仿宋" w:eastAsia="仿宋"/>
          <w:bCs w:val="0"/>
          <w:color w:val="auto"/>
          <w:highlight w:val="none"/>
        </w:rPr>
      </w:pPr>
      <w:bookmarkStart w:id="44" w:name="_Toc16938521"/>
      <w:bookmarkStart w:id="45" w:name="_Toc513029205"/>
      <w:bookmarkStart w:id="46" w:name="_Toc20823277"/>
      <w:r>
        <w:rPr>
          <w:rFonts w:ascii="仿宋" w:hAnsi="仿宋" w:eastAsia="仿宋"/>
          <w:bCs w:val="0"/>
          <w:color w:val="auto"/>
          <w:highlight w:val="none"/>
        </w:rPr>
        <w:t>2、合格的</w:t>
      </w:r>
      <w:bookmarkEnd w:id="44"/>
      <w:bookmarkEnd w:id="45"/>
      <w:bookmarkEnd w:id="46"/>
      <w:r>
        <w:rPr>
          <w:rFonts w:ascii="仿宋" w:hAnsi="仿宋" w:eastAsia="仿宋"/>
          <w:bCs w:val="0"/>
          <w:color w:val="auto"/>
          <w:highlight w:val="none"/>
        </w:rPr>
        <w:t>供应商</w:t>
      </w:r>
    </w:p>
    <w:p w14:paraId="0ADF0E0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 1满足竞争性磋商公告中</w:t>
      </w:r>
      <w:r>
        <w:rPr>
          <w:rFonts w:hint="eastAsia" w:ascii="仿宋" w:hAnsi="仿宋" w:eastAsia="仿宋"/>
          <w:color w:val="auto"/>
          <w:sz w:val="24"/>
          <w:highlight w:val="none"/>
        </w:rPr>
        <w:t>“</w:t>
      </w:r>
      <w:r>
        <w:rPr>
          <w:rFonts w:ascii="仿宋" w:hAnsi="仿宋" w:eastAsia="仿宋"/>
          <w:color w:val="auto"/>
          <w:sz w:val="24"/>
          <w:highlight w:val="none"/>
        </w:rPr>
        <w:t>供应商资格要求</w:t>
      </w:r>
      <w:r>
        <w:rPr>
          <w:rFonts w:hint="eastAsia" w:ascii="仿宋" w:hAnsi="仿宋" w:eastAsia="仿宋"/>
          <w:color w:val="auto"/>
          <w:sz w:val="24"/>
          <w:highlight w:val="none"/>
        </w:rPr>
        <w:t>”</w:t>
      </w:r>
      <w:r>
        <w:rPr>
          <w:rFonts w:ascii="仿宋" w:hAnsi="仿宋" w:eastAsia="仿宋"/>
          <w:color w:val="auto"/>
          <w:sz w:val="24"/>
          <w:highlight w:val="none"/>
        </w:rPr>
        <w:t>的规定。</w:t>
      </w:r>
    </w:p>
    <w:p w14:paraId="790DC71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 2 满足本文件实质性条款的规定。</w:t>
      </w:r>
    </w:p>
    <w:p w14:paraId="5771148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 3本竞争性磋商文件中所有带★号的内容均为实质性条款，如供应商递交的响应文件不符合实质性条款的要求，将作为无效响应文件处理。</w:t>
      </w:r>
    </w:p>
    <w:p w14:paraId="2D7BF91D">
      <w:pPr>
        <w:pStyle w:val="5"/>
        <w:spacing w:before="0" w:after="0" w:line="360" w:lineRule="auto"/>
        <w:ind w:firstLine="422" w:firstLineChars="150"/>
        <w:rPr>
          <w:rFonts w:ascii="仿宋" w:hAnsi="仿宋" w:eastAsia="仿宋"/>
          <w:bCs w:val="0"/>
          <w:color w:val="auto"/>
          <w:highlight w:val="none"/>
        </w:rPr>
      </w:pPr>
      <w:bookmarkStart w:id="47" w:name="_Toc20823278"/>
      <w:bookmarkStart w:id="48" w:name="_Toc16938522"/>
      <w:bookmarkStart w:id="49" w:name="_Toc513029206"/>
      <w:r>
        <w:rPr>
          <w:rFonts w:ascii="仿宋" w:hAnsi="仿宋" w:eastAsia="仿宋"/>
          <w:bCs w:val="0"/>
          <w:color w:val="auto"/>
          <w:highlight w:val="none"/>
        </w:rPr>
        <w:t>3、适用</w:t>
      </w:r>
      <w:r>
        <w:rPr>
          <w:rFonts w:hint="eastAsia" w:ascii="仿宋" w:hAnsi="仿宋" w:eastAsia="仿宋"/>
          <w:bCs w:val="0"/>
          <w:color w:val="auto"/>
          <w:highlight w:val="none"/>
        </w:rPr>
        <w:t>范围及定义</w:t>
      </w:r>
    </w:p>
    <w:p w14:paraId="625707C4">
      <w:pPr>
        <w:pStyle w:val="5"/>
        <w:spacing w:before="0" w:after="0" w:line="360" w:lineRule="auto"/>
        <w:ind w:firstLine="422" w:firstLineChars="150"/>
        <w:rPr>
          <w:rFonts w:ascii="仿宋" w:hAnsi="仿宋" w:eastAsia="仿宋"/>
          <w:bCs w:val="0"/>
          <w:color w:val="auto"/>
          <w:highlight w:val="none"/>
        </w:rPr>
      </w:pPr>
      <w:r>
        <w:rPr>
          <w:rFonts w:hint="eastAsia" w:ascii="仿宋" w:hAnsi="仿宋" w:eastAsia="仿宋"/>
          <w:bCs w:val="0"/>
          <w:color w:val="auto"/>
          <w:highlight w:val="none"/>
        </w:rPr>
        <w:t>3.1适用范围</w:t>
      </w:r>
      <w:bookmarkEnd w:id="47"/>
      <w:bookmarkEnd w:id="48"/>
      <w:bookmarkEnd w:id="49"/>
    </w:p>
    <w:p w14:paraId="6CB85A8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依据公开、公平、公正、诚实信用的原则制定本须知。</w:t>
      </w:r>
    </w:p>
    <w:p w14:paraId="2F880874">
      <w:pPr>
        <w:pStyle w:val="5"/>
        <w:spacing w:before="0" w:after="0" w:line="360" w:lineRule="auto"/>
        <w:ind w:firstLine="422" w:firstLineChars="150"/>
        <w:rPr>
          <w:rFonts w:ascii="仿宋" w:hAnsi="仿宋" w:eastAsia="仿宋"/>
          <w:bCs w:val="0"/>
          <w:color w:val="auto"/>
          <w:highlight w:val="none"/>
        </w:rPr>
      </w:pPr>
      <w:r>
        <w:rPr>
          <w:rFonts w:hint="eastAsia" w:ascii="仿宋" w:hAnsi="仿宋" w:eastAsia="仿宋"/>
          <w:bCs w:val="0"/>
          <w:color w:val="auto"/>
          <w:highlight w:val="none"/>
        </w:rPr>
        <w:t>3.2定义</w:t>
      </w:r>
    </w:p>
    <w:p w14:paraId="76E1017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3.2.1 “重大违法记录”系指磋商供应商因违法经营受到刑事处罚或者责令停产停业、吊销许可证或者执照、较大数额罚款等行政处罚。</w:t>
      </w:r>
    </w:p>
    <w:p w14:paraId="09F5BBE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3.2.2“不良行为记录”系指在招投标活动中因违反相关规定被政府采购及招投标监管部门列入不良行为记录名单的（包含本须知第16.5条中相关内容）。</w:t>
      </w:r>
    </w:p>
    <w:p w14:paraId="16F2C93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3.2.3“参加采购活动前二年”是以响应文件的递交截止时间为时间点向前追溯。</w:t>
      </w:r>
    </w:p>
    <w:p w14:paraId="0ECF9EC7">
      <w:pPr>
        <w:pStyle w:val="5"/>
        <w:spacing w:before="0" w:after="0" w:line="360" w:lineRule="auto"/>
        <w:rPr>
          <w:rFonts w:ascii="仿宋" w:hAnsi="仿宋" w:eastAsia="仿宋"/>
          <w:bCs w:val="0"/>
          <w:color w:val="auto"/>
          <w:highlight w:val="none"/>
        </w:rPr>
      </w:pPr>
      <w:bookmarkStart w:id="50" w:name="_Toc513029207"/>
      <w:bookmarkStart w:id="51" w:name="_Toc462564067"/>
      <w:bookmarkStart w:id="52" w:name="_Toc16938523"/>
      <w:bookmarkStart w:id="53" w:name="_Toc20823279"/>
      <w:r>
        <w:rPr>
          <w:rFonts w:ascii="仿宋" w:hAnsi="仿宋" w:eastAsia="仿宋"/>
          <w:bCs w:val="0"/>
          <w:color w:val="auto"/>
          <w:highlight w:val="none"/>
        </w:rPr>
        <w:t>4、</w:t>
      </w:r>
      <w:r>
        <w:rPr>
          <w:rFonts w:hint="eastAsia" w:ascii="仿宋" w:hAnsi="仿宋" w:eastAsia="仿宋"/>
          <w:bCs w:val="0"/>
          <w:color w:val="auto"/>
          <w:highlight w:val="none"/>
        </w:rPr>
        <w:t>磋商</w:t>
      </w:r>
      <w:r>
        <w:rPr>
          <w:rFonts w:ascii="仿宋" w:hAnsi="仿宋" w:eastAsia="仿宋"/>
          <w:bCs w:val="0"/>
          <w:color w:val="auto"/>
          <w:highlight w:val="none"/>
        </w:rPr>
        <w:t>费用</w:t>
      </w:r>
      <w:bookmarkEnd w:id="50"/>
      <w:bookmarkEnd w:id="51"/>
      <w:bookmarkEnd w:id="52"/>
      <w:bookmarkEnd w:id="53"/>
    </w:p>
    <w:p w14:paraId="4102DE2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4.1 供应商应自行承担所有与参加</w:t>
      </w:r>
      <w:r>
        <w:rPr>
          <w:rFonts w:hint="eastAsia" w:ascii="仿宋" w:hAnsi="仿宋" w:eastAsia="仿宋"/>
          <w:color w:val="auto"/>
          <w:sz w:val="24"/>
          <w:highlight w:val="none"/>
        </w:rPr>
        <w:t>竞争性磋商</w:t>
      </w:r>
      <w:r>
        <w:rPr>
          <w:rFonts w:ascii="仿宋" w:hAnsi="仿宋" w:eastAsia="仿宋"/>
          <w:color w:val="auto"/>
          <w:sz w:val="24"/>
          <w:highlight w:val="none"/>
        </w:rPr>
        <w:t>有关的费用，无论投标过程中的做法和结果如何，</w:t>
      </w:r>
      <w:r>
        <w:rPr>
          <w:rFonts w:hint="eastAsia" w:ascii="仿宋" w:hAnsi="仿宋" w:eastAsia="仿宋"/>
          <w:color w:val="auto"/>
          <w:sz w:val="24"/>
          <w:highlight w:val="none"/>
        </w:rPr>
        <w:t>采购代理机构</w:t>
      </w:r>
      <w:r>
        <w:rPr>
          <w:rFonts w:ascii="仿宋" w:hAnsi="仿宋" w:eastAsia="仿宋"/>
          <w:color w:val="auto"/>
          <w:sz w:val="24"/>
          <w:highlight w:val="none"/>
        </w:rPr>
        <w:t>在任何情况下均无义务和责任承担这些费用。</w:t>
      </w:r>
    </w:p>
    <w:p w14:paraId="00E499D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w:t>
      </w:r>
      <w:r>
        <w:rPr>
          <w:rFonts w:hint="eastAsia" w:ascii="仿宋" w:hAnsi="仿宋" w:eastAsia="仿宋"/>
          <w:color w:val="auto"/>
          <w:sz w:val="24"/>
          <w:highlight w:val="none"/>
        </w:rPr>
        <w:t>招标代理服务收费标准</w:t>
      </w:r>
    </w:p>
    <w:p w14:paraId="781AE77A">
      <w:pPr>
        <w:pStyle w:val="5"/>
        <w:spacing w:before="0" w:after="0" w:line="360" w:lineRule="auto"/>
        <w:ind w:firstLine="360" w:firstLineChars="15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成交供应商须按成交金额的1.5%计算并支付成交服务费以及其他相关费用，成交服务费按上述计算不足3000元的，按最低人民币3000元收取。</w:t>
      </w:r>
    </w:p>
    <w:p w14:paraId="0E8B67D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4.3</w:t>
      </w:r>
      <w:r>
        <w:rPr>
          <w:rFonts w:ascii="仿宋" w:hAnsi="仿宋" w:eastAsia="仿宋"/>
          <w:color w:val="auto"/>
          <w:sz w:val="24"/>
          <w:highlight w:val="none"/>
        </w:rPr>
        <w:t>本次招标</w:t>
      </w:r>
      <w:r>
        <w:rPr>
          <w:rFonts w:hint="eastAsia" w:ascii="仿宋" w:hAnsi="仿宋" w:eastAsia="仿宋" w:cs="Arial Unicode MS"/>
          <w:b/>
          <w:bCs/>
          <w:color w:val="auto"/>
          <w:kern w:val="0"/>
          <w:sz w:val="24"/>
          <w:highlight w:val="none"/>
        </w:rPr>
        <w:t>按4.2条</w:t>
      </w:r>
      <w:r>
        <w:rPr>
          <w:rFonts w:ascii="仿宋" w:hAnsi="仿宋" w:eastAsia="仿宋" w:cs="Arial Unicode MS"/>
          <w:b/>
          <w:bCs/>
          <w:color w:val="auto"/>
          <w:kern w:val="0"/>
          <w:sz w:val="24"/>
          <w:highlight w:val="none"/>
        </w:rPr>
        <w:t>内容</w:t>
      </w:r>
      <w:r>
        <w:rPr>
          <w:rFonts w:hint="eastAsia" w:ascii="仿宋" w:hAnsi="仿宋" w:eastAsia="仿宋" w:cs="Arial Unicode MS"/>
          <w:b/>
          <w:bCs/>
          <w:color w:val="auto"/>
          <w:kern w:val="0"/>
          <w:sz w:val="24"/>
          <w:highlight w:val="none"/>
        </w:rPr>
        <w:t>计算中标服务费</w:t>
      </w:r>
      <w:r>
        <w:rPr>
          <w:rFonts w:hint="eastAsia" w:ascii="仿宋" w:hAnsi="仿宋" w:eastAsia="仿宋" w:cs="Arial Unicode MS"/>
          <w:bCs/>
          <w:color w:val="auto"/>
          <w:kern w:val="0"/>
          <w:sz w:val="24"/>
          <w:highlight w:val="none"/>
        </w:rPr>
        <w:t>，</w:t>
      </w:r>
      <w:r>
        <w:rPr>
          <w:rFonts w:hint="eastAsia" w:ascii="仿宋" w:hAnsi="仿宋" w:eastAsia="仿宋" w:cs="仿宋"/>
          <w:bCs/>
          <w:color w:val="auto"/>
          <w:kern w:val="0"/>
          <w:sz w:val="24"/>
          <w:highlight w:val="none"/>
        </w:rPr>
        <w:t>成交供应商在成交通知书发出之日起五个工作日内向采购代理机构缴纳</w:t>
      </w:r>
      <w:r>
        <w:rPr>
          <w:rFonts w:hint="eastAsia" w:ascii="仿宋" w:hAnsi="仿宋" w:eastAsia="仿宋" w:cs="仿宋"/>
          <w:color w:val="auto"/>
          <w:sz w:val="24"/>
          <w:highlight w:val="none"/>
        </w:rPr>
        <w:t>。</w:t>
      </w:r>
    </w:p>
    <w:p w14:paraId="05019C19">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5、竞争性磋商文件的约束力</w:t>
      </w:r>
    </w:p>
    <w:p w14:paraId="496FD31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供应商一旦</w:t>
      </w:r>
      <w:r>
        <w:rPr>
          <w:rFonts w:hint="eastAsia" w:ascii="仿宋" w:hAnsi="仿宋" w:eastAsia="仿宋"/>
          <w:color w:val="auto"/>
          <w:sz w:val="24"/>
          <w:highlight w:val="none"/>
        </w:rPr>
        <w:t>购买</w:t>
      </w:r>
      <w:r>
        <w:rPr>
          <w:rFonts w:ascii="仿宋" w:hAnsi="仿宋" w:eastAsia="仿宋"/>
          <w:color w:val="auto"/>
          <w:sz w:val="24"/>
          <w:highlight w:val="none"/>
        </w:rPr>
        <w:t>了本竞争性磋商文件并决定参加投标，即被认为接受了本竞争性磋商文件的规定和约束，供应商应当按照竞争性磋商文件的规定制作响应文件并参加竞争性磋商。</w:t>
      </w:r>
    </w:p>
    <w:p w14:paraId="0AA297A3">
      <w:pPr>
        <w:pStyle w:val="4"/>
        <w:autoSpaceDE/>
        <w:autoSpaceDN/>
        <w:adjustRightInd/>
        <w:spacing w:beforeLines="50" w:afterLines="50" w:line="360" w:lineRule="auto"/>
        <w:ind w:firstLine="498" w:firstLineChars="155"/>
        <w:jc w:val="both"/>
        <w:rPr>
          <w:rFonts w:ascii="仿宋" w:hAnsi="仿宋" w:eastAsia="仿宋"/>
          <w:bCs/>
          <w:color w:val="auto"/>
          <w:sz w:val="32"/>
          <w:szCs w:val="32"/>
          <w:highlight w:val="none"/>
          <w:u w:val="none"/>
        </w:rPr>
      </w:pPr>
      <w:bookmarkStart w:id="54" w:name="_Toc16938525"/>
      <w:bookmarkStart w:id="55" w:name="_Toc120614215"/>
      <w:bookmarkStart w:id="56" w:name="_Toc20823281"/>
      <w:bookmarkStart w:id="57" w:name="_Toc513029209"/>
      <w:r>
        <w:rPr>
          <w:rFonts w:ascii="仿宋" w:hAnsi="仿宋" w:eastAsia="仿宋"/>
          <w:bCs/>
          <w:color w:val="auto"/>
          <w:sz w:val="32"/>
          <w:szCs w:val="32"/>
          <w:highlight w:val="none"/>
          <w:u w:val="none"/>
        </w:rPr>
        <w:t>二、</w:t>
      </w:r>
      <w:bookmarkEnd w:id="54"/>
      <w:bookmarkEnd w:id="55"/>
      <w:bookmarkEnd w:id="56"/>
      <w:bookmarkEnd w:id="57"/>
      <w:r>
        <w:rPr>
          <w:rFonts w:ascii="仿宋" w:hAnsi="仿宋" w:eastAsia="仿宋"/>
          <w:bCs/>
          <w:color w:val="auto"/>
          <w:sz w:val="32"/>
          <w:szCs w:val="32"/>
          <w:highlight w:val="none"/>
          <w:u w:val="none"/>
        </w:rPr>
        <w:t>竞争性磋商文件</w:t>
      </w:r>
    </w:p>
    <w:p w14:paraId="43167A4D">
      <w:pPr>
        <w:pStyle w:val="5"/>
        <w:spacing w:before="0" w:after="0" w:line="360" w:lineRule="auto"/>
        <w:ind w:firstLine="422" w:firstLineChars="150"/>
        <w:rPr>
          <w:rFonts w:ascii="仿宋" w:hAnsi="仿宋" w:eastAsia="仿宋"/>
          <w:bCs w:val="0"/>
          <w:color w:val="auto"/>
          <w:highlight w:val="none"/>
        </w:rPr>
      </w:pPr>
      <w:bookmarkStart w:id="58" w:name="_Toc20823282"/>
      <w:bookmarkStart w:id="59" w:name="_Toc513029210"/>
      <w:bookmarkStart w:id="60" w:name="_Toc16938526"/>
      <w:r>
        <w:rPr>
          <w:rFonts w:ascii="仿宋" w:hAnsi="仿宋" w:eastAsia="仿宋"/>
          <w:bCs w:val="0"/>
          <w:color w:val="auto"/>
          <w:highlight w:val="none"/>
        </w:rPr>
        <w:t>6、竞争性磋商文件构成</w:t>
      </w:r>
      <w:bookmarkEnd w:id="58"/>
      <w:bookmarkEnd w:id="59"/>
      <w:bookmarkEnd w:id="60"/>
    </w:p>
    <w:p w14:paraId="203E625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6.1 竞争性磋商文件有以下部分组成：</w:t>
      </w:r>
    </w:p>
    <w:p w14:paraId="70F783D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（1）竞争性磋商公告    </w:t>
      </w:r>
    </w:p>
    <w:p w14:paraId="3D42C62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（2）供应商须知</w:t>
      </w:r>
    </w:p>
    <w:p w14:paraId="1A1A5F5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（3）项目需求</w:t>
      </w:r>
    </w:p>
    <w:p w14:paraId="0EDAD8F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（4）合同条款及格式</w:t>
      </w:r>
    </w:p>
    <w:p w14:paraId="2841EC7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（5）评标方法与评标标准</w:t>
      </w:r>
    </w:p>
    <w:p w14:paraId="5134BA0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（6）响应文件格式</w:t>
      </w:r>
    </w:p>
    <w:p w14:paraId="542A14E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请仔细检查竞争性磋商文件是否齐全，如有缺漏请立即与</w:t>
      </w:r>
      <w:r>
        <w:rPr>
          <w:rFonts w:hint="eastAsia" w:ascii="仿宋" w:hAnsi="仿宋" w:eastAsia="仿宋"/>
          <w:color w:val="auto"/>
          <w:sz w:val="24"/>
          <w:highlight w:val="none"/>
        </w:rPr>
        <w:t>采购代理机构</w:t>
      </w:r>
      <w:r>
        <w:rPr>
          <w:rFonts w:ascii="仿宋" w:hAnsi="仿宋" w:eastAsia="仿宋"/>
          <w:color w:val="auto"/>
          <w:sz w:val="24"/>
          <w:highlight w:val="none"/>
        </w:rPr>
        <w:t>联系解决。</w:t>
      </w:r>
    </w:p>
    <w:p w14:paraId="75886E1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6.2 供应商应认真阅读竞争性磋商文件中所有的事项、格式、条款和规范等要求。按竞争性磋商文件要求和规定编制响应文件，并保证所提供的全部资料的真实性，以使其响应文件对竞争性磋商文件作出实质性响应，否则其风险由供应商自行承担。</w:t>
      </w:r>
    </w:p>
    <w:p w14:paraId="460FF6B1">
      <w:pPr>
        <w:pStyle w:val="5"/>
        <w:spacing w:before="0" w:after="0" w:line="360" w:lineRule="auto"/>
        <w:ind w:firstLine="422" w:firstLineChars="150"/>
        <w:rPr>
          <w:rFonts w:ascii="仿宋" w:hAnsi="仿宋" w:eastAsia="仿宋"/>
          <w:bCs w:val="0"/>
          <w:color w:val="auto"/>
          <w:highlight w:val="none"/>
        </w:rPr>
      </w:pPr>
      <w:bookmarkStart w:id="61" w:name="_Toc513029211"/>
      <w:bookmarkStart w:id="62" w:name="_Toc20823283"/>
      <w:bookmarkStart w:id="63" w:name="_Toc16938527"/>
      <w:bookmarkStart w:id="64" w:name="_Toc462564070"/>
      <w:r>
        <w:rPr>
          <w:rFonts w:ascii="仿宋" w:hAnsi="仿宋" w:eastAsia="仿宋"/>
          <w:bCs w:val="0"/>
          <w:color w:val="auto"/>
          <w:highlight w:val="none"/>
        </w:rPr>
        <w:t>7、竞争性磋商文件的澄清</w:t>
      </w:r>
      <w:bookmarkEnd w:id="61"/>
      <w:bookmarkEnd w:id="62"/>
      <w:bookmarkEnd w:id="63"/>
      <w:bookmarkEnd w:id="64"/>
    </w:p>
    <w:p w14:paraId="30EB74F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7.1 任何要求对竞争性磋商文件进行澄清的供应商，均应</w:t>
      </w:r>
      <w:r>
        <w:rPr>
          <w:rFonts w:hint="eastAsia" w:ascii="仿宋" w:hAnsi="仿宋" w:eastAsia="仿宋"/>
          <w:color w:val="auto"/>
          <w:sz w:val="24"/>
          <w:highlight w:val="none"/>
        </w:rPr>
        <w:t>按磋商公告规定的提疑时间及要求前</w:t>
      </w:r>
      <w:r>
        <w:rPr>
          <w:rFonts w:ascii="仿宋" w:hAnsi="仿宋" w:eastAsia="仿宋"/>
          <w:color w:val="auto"/>
          <w:sz w:val="24"/>
          <w:highlight w:val="none"/>
        </w:rPr>
        <w:t>，以书面形式</w:t>
      </w:r>
      <w:r>
        <w:rPr>
          <w:rFonts w:hint="eastAsia" w:ascii="仿宋" w:hAnsi="仿宋" w:eastAsia="仿宋"/>
          <w:color w:val="auto"/>
          <w:sz w:val="24"/>
          <w:highlight w:val="none"/>
        </w:rPr>
        <w:t>并加盖公章</w:t>
      </w:r>
      <w:r>
        <w:rPr>
          <w:rFonts w:ascii="仿宋" w:hAnsi="仿宋" w:eastAsia="仿宋"/>
          <w:color w:val="auto"/>
          <w:sz w:val="24"/>
          <w:highlight w:val="none"/>
        </w:rPr>
        <w:t>送达</w:t>
      </w:r>
      <w:r>
        <w:rPr>
          <w:rFonts w:hint="eastAsia" w:ascii="仿宋" w:hAnsi="仿宋" w:eastAsia="仿宋"/>
          <w:color w:val="auto"/>
          <w:sz w:val="24"/>
          <w:highlight w:val="none"/>
        </w:rPr>
        <w:t>采购代理机构，否则视为无有效疑问或澄清。</w:t>
      </w:r>
    </w:p>
    <w:p w14:paraId="138763F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7.2</w:t>
      </w:r>
      <w:r>
        <w:rPr>
          <w:rFonts w:hint="eastAsia" w:ascii="仿宋" w:hAnsi="仿宋" w:eastAsia="仿宋"/>
          <w:color w:val="auto"/>
          <w:sz w:val="24"/>
          <w:highlight w:val="none"/>
        </w:rPr>
        <w:t>若供应商认为设置的资质、条件、技术要求、商务条款、评标办法（评分标准）等存在歧视或不公正待遇的，应在上述期限内提出异议，否则视为无有效异议。供应商根据采购代理机构的答复作出是否继续参加竞争性磋商的决定。</w:t>
      </w:r>
    </w:p>
    <w:p w14:paraId="4ACD75F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7.3 </w:t>
      </w:r>
      <w:r>
        <w:rPr>
          <w:rFonts w:hint="eastAsia" w:ascii="仿宋" w:hAnsi="仿宋" w:eastAsia="仿宋"/>
          <w:color w:val="auto"/>
          <w:sz w:val="24"/>
          <w:highlight w:val="none"/>
        </w:rPr>
        <w:t>采购人或采购代理机构</w:t>
      </w:r>
      <w:r>
        <w:rPr>
          <w:rFonts w:ascii="仿宋" w:hAnsi="仿宋" w:eastAsia="仿宋"/>
          <w:color w:val="auto"/>
          <w:sz w:val="24"/>
          <w:highlight w:val="none"/>
        </w:rPr>
        <w:t>将视按照上述7.1</w:t>
      </w:r>
      <w:r>
        <w:rPr>
          <w:rFonts w:hint="eastAsia" w:ascii="仿宋" w:hAnsi="仿宋" w:eastAsia="仿宋"/>
          <w:color w:val="auto"/>
          <w:sz w:val="24"/>
          <w:highlight w:val="none"/>
        </w:rPr>
        <w:t>、7.2条</w:t>
      </w:r>
      <w:r>
        <w:rPr>
          <w:rFonts w:ascii="仿宋" w:hAnsi="仿宋" w:eastAsia="仿宋"/>
          <w:color w:val="auto"/>
          <w:sz w:val="24"/>
          <w:highlight w:val="none"/>
        </w:rPr>
        <w:t>规定收到的要求澄清</w:t>
      </w:r>
      <w:r>
        <w:rPr>
          <w:rFonts w:hint="eastAsia" w:ascii="仿宋" w:hAnsi="仿宋" w:eastAsia="仿宋"/>
          <w:color w:val="auto"/>
          <w:sz w:val="24"/>
          <w:highlight w:val="none"/>
        </w:rPr>
        <w:t>或</w:t>
      </w:r>
      <w:r>
        <w:rPr>
          <w:rFonts w:ascii="仿宋" w:hAnsi="仿宋" w:eastAsia="仿宋"/>
          <w:color w:val="auto"/>
          <w:sz w:val="24"/>
          <w:highlight w:val="none"/>
        </w:rPr>
        <w:t>提出异议事项决定是否发布澄清修改公告</w:t>
      </w:r>
      <w:r>
        <w:rPr>
          <w:rFonts w:hint="eastAsia" w:ascii="仿宋" w:hAnsi="仿宋" w:eastAsia="仿宋"/>
          <w:color w:val="auto"/>
          <w:sz w:val="24"/>
          <w:highlight w:val="none"/>
        </w:rPr>
        <w:t>，</w:t>
      </w:r>
      <w:r>
        <w:rPr>
          <w:rFonts w:ascii="仿宋" w:hAnsi="仿宋" w:eastAsia="仿宋"/>
          <w:color w:val="auto"/>
          <w:sz w:val="24"/>
          <w:highlight w:val="none"/>
        </w:rPr>
        <w:t>或就个性化的问题回复提出澄清要求的潜在供应商。</w:t>
      </w:r>
      <w:r>
        <w:rPr>
          <w:rFonts w:hint="eastAsia" w:ascii="仿宋" w:hAnsi="仿宋" w:eastAsia="仿宋"/>
          <w:color w:val="auto"/>
          <w:sz w:val="24"/>
          <w:highlight w:val="none"/>
        </w:rPr>
        <w:t>为避免不正当竞争或可能泄露采购人机密等不利情形，采购代理机构对供应商的疑问可以作选择性答复。</w:t>
      </w:r>
    </w:p>
    <w:p w14:paraId="778D907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7.4 </w:t>
      </w:r>
      <w:r>
        <w:rPr>
          <w:rFonts w:hint="eastAsia" w:ascii="仿宋" w:hAnsi="仿宋" w:eastAsia="仿宋"/>
          <w:color w:val="auto"/>
          <w:sz w:val="24"/>
          <w:highlight w:val="none"/>
        </w:rPr>
        <w:t>有关本次采购的事项若存在变动或修改，采购代理机构将通过补充或更正形式在网站上发布，因未能及时了解相关最新信息所引起的投标失误责任由供应商自负。</w:t>
      </w:r>
    </w:p>
    <w:p w14:paraId="137A8CCA">
      <w:pPr>
        <w:pStyle w:val="5"/>
        <w:spacing w:before="0" w:after="0" w:line="360" w:lineRule="auto"/>
        <w:ind w:firstLine="422" w:firstLineChars="150"/>
        <w:rPr>
          <w:rFonts w:ascii="仿宋" w:hAnsi="仿宋" w:eastAsia="仿宋"/>
          <w:bCs w:val="0"/>
          <w:color w:val="auto"/>
          <w:highlight w:val="none"/>
        </w:rPr>
      </w:pPr>
      <w:bookmarkStart w:id="65" w:name="_Toc513029212"/>
      <w:bookmarkStart w:id="66" w:name="_Toc462564071"/>
      <w:bookmarkStart w:id="67" w:name="_Toc16938528"/>
      <w:bookmarkStart w:id="68" w:name="_Toc20823284"/>
      <w:r>
        <w:rPr>
          <w:rFonts w:ascii="仿宋" w:hAnsi="仿宋" w:eastAsia="仿宋"/>
          <w:bCs w:val="0"/>
          <w:color w:val="auto"/>
          <w:highlight w:val="none"/>
        </w:rPr>
        <w:t>8、竞争性磋商文件的修改</w:t>
      </w:r>
      <w:bookmarkEnd w:id="65"/>
      <w:bookmarkEnd w:id="66"/>
      <w:bookmarkEnd w:id="67"/>
      <w:bookmarkEnd w:id="68"/>
    </w:p>
    <w:p w14:paraId="4D9D6F6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8.1 </w:t>
      </w:r>
      <w:r>
        <w:rPr>
          <w:rFonts w:hint="eastAsia" w:ascii="仿宋" w:hAnsi="仿宋" w:eastAsia="仿宋"/>
          <w:color w:val="auto"/>
          <w:sz w:val="24"/>
          <w:highlight w:val="none"/>
        </w:rPr>
        <w:t>竞争性磋商文件发出后，在规定响应文件递交时间截止前任何时间，采购人或采购代理机构</w:t>
      </w:r>
      <w:r>
        <w:rPr>
          <w:rFonts w:ascii="仿宋" w:hAnsi="仿宋" w:eastAsia="仿宋"/>
          <w:color w:val="auto"/>
          <w:sz w:val="24"/>
          <w:highlight w:val="none"/>
        </w:rPr>
        <w:t>均可主动地或在解答供应商提出的澄清问题时对竞争性磋商文件进行修改</w:t>
      </w:r>
      <w:r>
        <w:rPr>
          <w:rFonts w:hint="eastAsia" w:ascii="仿宋" w:hAnsi="仿宋" w:eastAsia="仿宋"/>
          <w:color w:val="auto"/>
          <w:sz w:val="24"/>
          <w:highlight w:val="none"/>
        </w:rPr>
        <w:t>，采购代理机构将通过补充或更正形式在网站上发布，因未能及时了解相关最新信息所引起的投标失误责任由供应商自负。</w:t>
      </w:r>
    </w:p>
    <w:p w14:paraId="5AF48A6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8.2</w:t>
      </w:r>
      <w:r>
        <w:rPr>
          <w:rFonts w:hint="eastAsia" w:ascii="仿宋" w:hAnsi="仿宋" w:eastAsia="仿宋"/>
          <w:color w:val="auto"/>
          <w:sz w:val="24"/>
          <w:highlight w:val="none"/>
        </w:rPr>
        <w:t>采购人或采购代理机构</w:t>
      </w:r>
      <w:r>
        <w:rPr>
          <w:rFonts w:ascii="仿宋" w:hAnsi="仿宋" w:eastAsia="仿宋"/>
          <w:color w:val="auto"/>
          <w:sz w:val="24"/>
          <w:highlight w:val="none"/>
        </w:rPr>
        <w:t>有权按照法定的要求推迟竞争性磋商截止日期和竞争性磋商</w:t>
      </w:r>
      <w:r>
        <w:rPr>
          <w:rFonts w:hint="eastAsia" w:ascii="仿宋" w:hAnsi="仿宋" w:eastAsia="仿宋"/>
          <w:color w:val="auto"/>
          <w:sz w:val="24"/>
          <w:highlight w:val="none"/>
        </w:rPr>
        <w:t>开始</w:t>
      </w:r>
      <w:r>
        <w:rPr>
          <w:rFonts w:ascii="仿宋" w:hAnsi="仿宋" w:eastAsia="仿宋"/>
          <w:color w:val="auto"/>
          <w:sz w:val="24"/>
          <w:highlight w:val="none"/>
        </w:rPr>
        <w:t>日期。</w:t>
      </w:r>
    </w:p>
    <w:p w14:paraId="1E2353A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8.3竞争性磋商文件的修改</w:t>
      </w:r>
      <w:r>
        <w:rPr>
          <w:rFonts w:hint="eastAsia" w:ascii="仿宋" w:hAnsi="仿宋" w:eastAsia="仿宋"/>
          <w:color w:val="auto"/>
          <w:sz w:val="24"/>
          <w:highlight w:val="none"/>
        </w:rPr>
        <w:t>和</w:t>
      </w:r>
      <w:r>
        <w:rPr>
          <w:rFonts w:ascii="仿宋" w:hAnsi="仿宋" w:eastAsia="仿宋"/>
          <w:color w:val="auto"/>
          <w:sz w:val="24"/>
          <w:highlight w:val="none"/>
        </w:rPr>
        <w:t>补充文件将作为竞争性磋商文件的组成部分，并对供应商具有约束力。</w:t>
      </w:r>
    </w:p>
    <w:p w14:paraId="4430B718">
      <w:pPr>
        <w:pStyle w:val="4"/>
        <w:autoSpaceDE/>
        <w:autoSpaceDN/>
        <w:adjustRightInd/>
        <w:spacing w:beforeLines="50" w:afterLines="50" w:line="360" w:lineRule="auto"/>
        <w:ind w:firstLine="498" w:firstLineChars="155"/>
        <w:jc w:val="both"/>
        <w:rPr>
          <w:rFonts w:ascii="仿宋" w:hAnsi="仿宋" w:eastAsia="仿宋"/>
          <w:bCs/>
          <w:color w:val="auto"/>
          <w:sz w:val="32"/>
          <w:szCs w:val="32"/>
          <w:highlight w:val="none"/>
          <w:u w:val="none"/>
        </w:rPr>
      </w:pPr>
      <w:bookmarkStart w:id="69" w:name="_Toc513029213"/>
      <w:bookmarkStart w:id="70" w:name="_Toc20823285"/>
      <w:bookmarkStart w:id="71" w:name="_Toc16938529"/>
      <w:bookmarkStart w:id="72" w:name="_Toc120614216"/>
      <w:bookmarkStart w:id="73" w:name="_Toc462564072"/>
      <w:r>
        <w:rPr>
          <w:rFonts w:ascii="仿宋" w:hAnsi="仿宋" w:eastAsia="仿宋"/>
          <w:bCs/>
          <w:color w:val="auto"/>
          <w:sz w:val="32"/>
          <w:szCs w:val="32"/>
          <w:highlight w:val="none"/>
          <w:u w:val="none"/>
        </w:rPr>
        <w:t>三、响应文件的编制</w:t>
      </w:r>
      <w:bookmarkEnd w:id="69"/>
      <w:bookmarkEnd w:id="70"/>
      <w:bookmarkEnd w:id="71"/>
      <w:bookmarkEnd w:id="72"/>
      <w:bookmarkEnd w:id="73"/>
    </w:p>
    <w:p w14:paraId="6FD91A74">
      <w:pPr>
        <w:pStyle w:val="5"/>
        <w:spacing w:before="0" w:after="0" w:line="360" w:lineRule="auto"/>
        <w:ind w:firstLine="422" w:firstLineChars="150"/>
        <w:rPr>
          <w:rFonts w:ascii="仿宋" w:hAnsi="仿宋" w:eastAsia="仿宋"/>
          <w:bCs w:val="0"/>
          <w:color w:val="auto"/>
          <w:highlight w:val="none"/>
        </w:rPr>
      </w:pPr>
      <w:bookmarkStart w:id="74" w:name="_Toc20823286"/>
      <w:bookmarkStart w:id="75" w:name="_Toc513029214"/>
      <w:bookmarkStart w:id="76" w:name="_Toc16938530"/>
      <w:bookmarkStart w:id="77" w:name="_Toc462564073"/>
      <w:r>
        <w:rPr>
          <w:rFonts w:ascii="仿宋" w:hAnsi="仿宋" w:eastAsia="仿宋"/>
          <w:bCs w:val="0"/>
          <w:color w:val="auto"/>
          <w:highlight w:val="none"/>
        </w:rPr>
        <w:t>9、响应文件的语言及度量衡单位</w:t>
      </w:r>
      <w:bookmarkEnd w:id="74"/>
      <w:bookmarkEnd w:id="75"/>
      <w:bookmarkEnd w:id="76"/>
      <w:bookmarkEnd w:id="77"/>
    </w:p>
    <w:p w14:paraId="5B95A4A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9.1 供应商提交的响应文件以及供应商与</w:t>
      </w:r>
      <w:r>
        <w:rPr>
          <w:rFonts w:hint="eastAsia" w:ascii="仿宋" w:hAnsi="仿宋" w:eastAsia="仿宋"/>
          <w:color w:val="auto"/>
          <w:sz w:val="24"/>
          <w:highlight w:val="none"/>
        </w:rPr>
        <w:t>采购代理机构</w:t>
      </w:r>
      <w:r>
        <w:rPr>
          <w:rFonts w:ascii="仿宋" w:hAnsi="仿宋" w:eastAsia="仿宋"/>
          <w:color w:val="auto"/>
          <w:sz w:val="24"/>
          <w:highlight w:val="none"/>
        </w:rPr>
        <w:t>就有关竞争性磋商的所有来往通知、函件和文件均应使用简体中文。</w:t>
      </w:r>
    </w:p>
    <w:p w14:paraId="55FDBF4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9.2 除技术性能另有规定外，响应文件所使用的度量衡单位，均须采用国家法定计量单位。</w:t>
      </w:r>
    </w:p>
    <w:p w14:paraId="7EEB5217">
      <w:pPr>
        <w:pStyle w:val="5"/>
        <w:spacing w:before="0" w:after="0" w:line="360" w:lineRule="auto"/>
        <w:ind w:firstLine="422" w:firstLineChars="150"/>
        <w:rPr>
          <w:rFonts w:ascii="仿宋" w:hAnsi="仿宋" w:eastAsia="仿宋"/>
          <w:bCs w:val="0"/>
          <w:color w:val="auto"/>
          <w:highlight w:val="none"/>
        </w:rPr>
      </w:pPr>
      <w:bookmarkStart w:id="78" w:name="_Toc20823287"/>
      <w:bookmarkStart w:id="79" w:name="_Toc513029215"/>
      <w:bookmarkStart w:id="80" w:name="_Toc16938531"/>
      <w:bookmarkStart w:id="81" w:name="_Toc462564074"/>
      <w:r>
        <w:rPr>
          <w:rFonts w:ascii="仿宋" w:hAnsi="仿宋" w:eastAsia="仿宋"/>
          <w:bCs w:val="0"/>
          <w:color w:val="auto"/>
          <w:highlight w:val="none"/>
        </w:rPr>
        <w:t>10、响应文件构成</w:t>
      </w:r>
      <w:bookmarkEnd w:id="78"/>
      <w:bookmarkEnd w:id="79"/>
      <w:bookmarkEnd w:id="80"/>
      <w:bookmarkEnd w:id="81"/>
    </w:p>
    <w:p w14:paraId="3026DB0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10.1 供应商编写的响应文件</w:t>
      </w:r>
      <w:r>
        <w:rPr>
          <w:rFonts w:hint="eastAsia" w:ascii="仿宋" w:hAnsi="仿宋" w:eastAsia="仿宋"/>
          <w:color w:val="auto"/>
          <w:sz w:val="24"/>
          <w:highlight w:val="none"/>
        </w:rPr>
        <w:t>构成详见第六章《响应文件格式》</w:t>
      </w:r>
      <w:r>
        <w:rPr>
          <w:rFonts w:ascii="仿宋" w:hAnsi="仿宋" w:eastAsia="仿宋"/>
          <w:color w:val="auto"/>
          <w:sz w:val="24"/>
          <w:highlight w:val="none"/>
        </w:rPr>
        <w:t>。</w:t>
      </w:r>
    </w:p>
    <w:p w14:paraId="337DC744">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10.2 供应商应将响应文件</w:t>
      </w:r>
      <w:r>
        <w:rPr>
          <w:rFonts w:hint="eastAsia" w:ascii="仿宋" w:hAnsi="仿宋" w:eastAsia="仿宋"/>
          <w:b/>
          <w:bCs/>
          <w:color w:val="auto"/>
          <w:sz w:val="24"/>
          <w:highlight w:val="none"/>
        </w:rPr>
        <w:t>按顺序胶装成册</w:t>
      </w:r>
      <w:r>
        <w:rPr>
          <w:rFonts w:ascii="仿宋" w:hAnsi="仿宋" w:eastAsia="仿宋"/>
          <w:b/>
          <w:bCs/>
          <w:color w:val="auto"/>
          <w:sz w:val="24"/>
          <w:highlight w:val="none"/>
        </w:rPr>
        <w:t>，并编制响应文件资料目录。</w:t>
      </w:r>
    </w:p>
    <w:p w14:paraId="521A8BA3">
      <w:pPr>
        <w:pStyle w:val="5"/>
        <w:spacing w:before="0" w:after="0" w:line="360" w:lineRule="auto"/>
        <w:ind w:firstLine="422" w:firstLineChars="150"/>
        <w:rPr>
          <w:rFonts w:ascii="仿宋" w:hAnsi="仿宋" w:eastAsia="仿宋"/>
          <w:bCs w:val="0"/>
          <w:color w:val="auto"/>
          <w:highlight w:val="none"/>
        </w:rPr>
      </w:pPr>
      <w:bookmarkStart w:id="82" w:name="_Hlt26668975"/>
      <w:bookmarkEnd w:id="82"/>
      <w:bookmarkStart w:id="83" w:name="_Hlt26670360"/>
      <w:bookmarkEnd w:id="83"/>
      <w:bookmarkStart w:id="84" w:name="_Hlt26954838"/>
      <w:bookmarkEnd w:id="84"/>
      <w:bookmarkStart w:id="85" w:name="_Toc14577357"/>
      <w:bookmarkStart w:id="86" w:name="_Toc49090509"/>
      <w:bookmarkStart w:id="87" w:name="_Toc513029219"/>
      <w:bookmarkStart w:id="88" w:name="_Toc513029216"/>
      <w:bookmarkStart w:id="89" w:name="_Toc49090507"/>
      <w:bookmarkStart w:id="90" w:name="_Toc14577354"/>
      <w:r>
        <w:rPr>
          <w:rFonts w:ascii="仿宋" w:hAnsi="仿宋" w:eastAsia="仿宋"/>
          <w:bCs w:val="0"/>
          <w:color w:val="auto"/>
          <w:highlight w:val="none"/>
        </w:rPr>
        <w:t>11、证明供应商资格及符合竞争性磋商文件规定的文件</w:t>
      </w:r>
      <w:bookmarkEnd w:id="85"/>
      <w:bookmarkEnd w:id="86"/>
      <w:bookmarkEnd w:id="87"/>
    </w:p>
    <w:p w14:paraId="51B26C6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11.1</w:t>
      </w:r>
      <w:bookmarkStart w:id="91" w:name="_Hlt26668999"/>
      <w:bookmarkEnd w:id="91"/>
      <w:r>
        <w:rPr>
          <w:rFonts w:ascii="仿宋" w:hAnsi="仿宋" w:eastAsia="仿宋"/>
          <w:color w:val="auto"/>
          <w:sz w:val="24"/>
          <w:highlight w:val="none"/>
        </w:rPr>
        <w:t>供应商应按要求提交资格证明文件及符合竞争性磋商文件规定的文件。</w:t>
      </w:r>
    </w:p>
    <w:p w14:paraId="4DEE7DA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11.2供应商应提交证明其有资格参加竞争性磋商和中标后有能力独立履行合同的文件。</w:t>
      </w:r>
    </w:p>
    <w:p w14:paraId="7B665D9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11.3供应商除必须具有履行合同所需提供的服务的能力外，还必须具备相应的财务、技术方面的能力。</w:t>
      </w:r>
    </w:p>
    <w:bookmarkEnd w:id="88"/>
    <w:bookmarkEnd w:id="89"/>
    <w:bookmarkEnd w:id="90"/>
    <w:p w14:paraId="3C188925">
      <w:pPr>
        <w:pStyle w:val="5"/>
        <w:spacing w:before="0" w:after="0" w:line="360" w:lineRule="auto"/>
        <w:ind w:firstLine="422" w:firstLineChars="150"/>
        <w:rPr>
          <w:rFonts w:ascii="仿宋" w:hAnsi="仿宋" w:eastAsia="仿宋"/>
          <w:bCs w:val="0"/>
          <w:color w:val="auto"/>
          <w:highlight w:val="none"/>
        </w:rPr>
      </w:pPr>
      <w:bookmarkStart w:id="92" w:name="_Toc14577355"/>
      <w:bookmarkStart w:id="93" w:name="_Toc49090508"/>
      <w:r>
        <w:rPr>
          <w:rFonts w:ascii="仿宋" w:hAnsi="仿宋" w:eastAsia="仿宋"/>
          <w:bCs w:val="0"/>
          <w:color w:val="auto"/>
          <w:highlight w:val="none"/>
        </w:rPr>
        <w:t>12、投标配置与分项报价</w:t>
      </w:r>
      <w:bookmarkEnd w:id="92"/>
      <w:bookmarkStart w:id="94" w:name="_Hlt26670373"/>
      <w:bookmarkEnd w:id="94"/>
      <w:r>
        <w:rPr>
          <w:rFonts w:ascii="仿宋" w:hAnsi="仿宋" w:eastAsia="仿宋"/>
          <w:bCs w:val="0"/>
          <w:color w:val="auto"/>
          <w:highlight w:val="none"/>
        </w:rPr>
        <w:t>表</w:t>
      </w:r>
      <w:bookmarkEnd w:id="93"/>
    </w:p>
    <w:p w14:paraId="558574CB">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12.1</w:t>
      </w:r>
      <w:r>
        <w:rPr>
          <w:rFonts w:hint="eastAsia" w:ascii="仿宋" w:hAnsi="仿宋" w:eastAsia="仿宋"/>
          <w:color w:val="auto"/>
          <w:sz w:val="24"/>
          <w:highlight w:val="none"/>
        </w:rPr>
        <w:t>供应商应按照竞争性磋商文件规定格式填报竞争性磋商报价与分项报价表，在表中标明各分项报价内容。</w:t>
      </w:r>
      <w:r>
        <w:rPr>
          <w:rFonts w:hint="eastAsia" w:ascii="仿宋" w:hAnsi="仿宋" w:eastAsia="仿宋"/>
          <w:b/>
          <w:color w:val="auto"/>
          <w:sz w:val="24"/>
          <w:highlight w:val="none"/>
        </w:rPr>
        <w:t>每个分项只允许有一个报价，任何有选择的或附有条件的报价将视为无效响应。本次招标不接受备选方案。</w:t>
      </w:r>
    </w:p>
    <w:p w14:paraId="3A8FB9E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12.2有关</w:t>
      </w:r>
      <w:r>
        <w:rPr>
          <w:rFonts w:hint="eastAsia" w:ascii="仿宋" w:hAnsi="仿宋" w:eastAsia="仿宋"/>
          <w:color w:val="auto"/>
          <w:sz w:val="24"/>
          <w:highlight w:val="none"/>
        </w:rPr>
        <w:t>报价</w:t>
      </w:r>
      <w:r>
        <w:rPr>
          <w:rFonts w:ascii="仿宋" w:hAnsi="仿宋" w:eastAsia="仿宋"/>
          <w:color w:val="auto"/>
          <w:sz w:val="24"/>
          <w:highlight w:val="none"/>
        </w:rPr>
        <w:t>的内容</w:t>
      </w:r>
    </w:p>
    <w:p w14:paraId="1B59AA94">
      <w:pPr>
        <w:spacing w:line="360" w:lineRule="auto"/>
        <w:ind w:firstLine="482" w:firstLineChars="200"/>
        <w:rPr>
          <w:rFonts w:ascii="仿宋" w:hAnsi="仿宋" w:eastAsia="仿宋"/>
          <w:b/>
          <w:bCs/>
          <w:color w:val="auto"/>
          <w:sz w:val="24"/>
          <w:highlight w:val="none"/>
        </w:rPr>
      </w:pPr>
      <w:bookmarkStart w:id="95" w:name="_Hlk88433938"/>
      <w:r>
        <w:rPr>
          <w:rFonts w:hint="eastAsia" w:ascii="仿宋" w:hAnsi="仿宋" w:eastAsia="仿宋"/>
          <w:b/>
          <w:bCs/>
          <w:color w:val="auto"/>
          <w:sz w:val="24"/>
          <w:highlight w:val="none"/>
        </w:rPr>
        <w:t>报价表上的价格为含税报价，本项目报价为固定总价，磋商报价应包括竞争性磋商文件所确定的采购范围相应服务费用，包括但不限于：人员工资、社保、各项保险、日常管理、耗材、福利、税金、第三方系统改造的接口费等，政策性文件规定及合同包含的所有风险、责任等各项应有费用，以及为完成该项服务项目所涉及到的一切相关费用，采购人不再支付其他任何费用。</w:t>
      </w:r>
    </w:p>
    <w:bookmarkEnd w:id="95"/>
    <w:p w14:paraId="2D64EDF8">
      <w:pPr>
        <w:spacing w:line="360" w:lineRule="auto"/>
        <w:ind w:firstLine="482" w:firstLineChars="200"/>
        <w:rPr>
          <w:rFonts w:ascii="仿宋" w:hAnsi="仿宋" w:eastAsia="仿宋"/>
          <w:b/>
          <w:bCs/>
          <w:color w:val="auto"/>
          <w:sz w:val="24"/>
          <w:highlight w:val="none"/>
          <w:u w:val="single"/>
        </w:rPr>
      </w:pPr>
      <w:r>
        <w:rPr>
          <w:rFonts w:hint="eastAsia" w:ascii="仿宋" w:hAnsi="仿宋" w:eastAsia="仿宋"/>
          <w:b/>
          <w:bCs/>
          <w:color w:val="auto"/>
          <w:sz w:val="24"/>
          <w:highlight w:val="none"/>
          <w:u w:val="single"/>
        </w:rPr>
        <w:t>项目招标服务费用及供应商认为需要的其他费用等，政策性文件规定及合同包含的所有风险、责任和磋商文件所要求的相关服务等全部内容，磋商报价为最终报价，除非因特殊原因并经买卖双方协商同意，供应商不得再要求追加任何费用。同时，除非合同条款中另有规定，否则，供应商所报价格在合同响应、实施期间不因市场变化因素而变动。</w:t>
      </w:r>
    </w:p>
    <w:p w14:paraId="23A5018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如果单价和总价不符，以单价为准。每项采购内容只允许有一个报价，任何有选择的或附有条件的报价将视为无效响应。</w:t>
      </w:r>
      <w:r>
        <w:rPr>
          <w:rFonts w:hint="eastAsia" w:ascii="仿宋" w:hAnsi="仿宋" w:eastAsia="仿宋"/>
          <w:b/>
          <w:color w:val="auto"/>
          <w:sz w:val="24"/>
          <w:highlight w:val="none"/>
        </w:rPr>
        <w:t>供应商未填单价或总价的项目，在成交后，采购单位将不予支付，并视为该项费用已包括在其它有价款的单价或总价内。</w:t>
      </w:r>
    </w:p>
    <w:p w14:paraId="599519B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12.</w:t>
      </w:r>
      <w:r>
        <w:rPr>
          <w:rFonts w:hint="eastAsia" w:ascii="仿宋" w:hAnsi="仿宋" w:eastAsia="仿宋"/>
          <w:color w:val="auto"/>
          <w:sz w:val="24"/>
          <w:highlight w:val="none"/>
        </w:rPr>
        <w:t>3</w:t>
      </w:r>
      <w:r>
        <w:rPr>
          <w:rFonts w:ascii="仿宋" w:hAnsi="仿宋" w:eastAsia="仿宋"/>
          <w:color w:val="auto"/>
          <w:sz w:val="24"/>
          <w:highlight w:val="none"/>
        </w:rPr>
        <w:t>货币</w:t>
      </w:r>
    </w:p>
    <w:p w14:paraId="780D883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响应文件中的单价和总价应采用人民币报价，以元为单位标注。报价应是唯一的，招标方不接受有选择的报价和方案。当数量和单价之积不等于总价时，以单价为准重新计算总价。</w:t>
      </w:r>
    </w:p>
    <w:p w14:paraId="32E416D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12.</w:t>
      </w:r>
      <w:r>
        <w:rPr>
          <w:rFonts w:hint="eastAsia" w:ascii="仿宋" w:hAnsi="仿宋" w:eastAsia="仿宋"/>
          <w:color w:val="auto"/>
          <w:sz w:val="24"/>
          <w:highlight w:val="none"/>
        </w:rPr>
        <w:t>4</w:t>
      </w:r>
      <w:r>
        <w:rPr>
          <w:rFonts w:ascii="仿宋" w:hAnsi="仿宋" w:eastAsia="仿宋"/>
          <w:color w:val="auto"/>
          <w:sz w:val="24"/>
          <w:highlight w:val="none"/>
        </w:rPr>
        <w:t xml:space="preserve"> 投标配置与分项报价表上的价格应按下列方式分开填写：</w:t>
      </w:r>
      <w:bookmarkStart w:id="96" w:name="_Hlt26954844"/>
      <w:bookmarkEnd w:id="96"/>
      <w:bookmarkStart w:id="97" w:name="_Hlt26670403"/>
      <w:bookmarkEnd w:id="97"/>
      <w:bookmarkStart w:id="98" w:name="_Hlt26670425"/>
      <w:bookmarkEnd w:id="98"/>
      <w:bookmarkStart w:id="99" w:name="_Hlt26668983"/>
      <w:bookmarkEnd w:id="99"/>
      <w:bookmarkStart w:id="100" w:name="_Hlt26954842"/>
      <w:bookmarkEnd w:id="100"/>
    </w:p>
    <w:p w14:paraId="17137E73">
      <w:pPr>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olor w:val="auto"/>
          <w:sz w:val="24"/>
          <w:highlight w:val="none"/>
        </w:rPr>
        <w:t>（1）</w:t>
      </w:r>
      <w:r>
        <w:rPr>
          <w:rFonts w:hint="eastAsia" w:ascii="仿宋" w:hAnsi="仿宋" w:eastAsia="仿宋" w:cs="宋体"/>
          <w:color w:val="auto"/>
          <w:sz w:val="24"/>
          <w:highlight w:val="none"/>
          <w:lang w:val="zh-CN"/>
        </w:rPr>
        <w:t>项目单价：按投标配置及分项报价表中要求填报</w:t>
      </w:r>
      <w:bookmarkStart w:id="101" w:name="OLE_LINK4"/>
      <w:r>
        <w:rPr>
          <w:rFonts w:hint="eastAsia" w:ascii="仿宋" w:hAnsi="仿宋" w:eastAsia="仿宋" w:cs="宋体"/>
          <w:color w:val="auto"/>
          <w:sz w:val="24"/>
          <w:highlight w:val="none"/>
          <w:lang w:val="zh-CN"/>
        </w:rPr>
        <w:t>；</w:t>
      </w:r>
    </w:p>
    <w:p w14:paraId="500EA387">
      <w:pPr>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olor w:val="auto"/>
          <w:sz w:val="24"/>
          <w:highlight w:val="none"/>
        </w:rPr>
        <w:t>（2）</w:t>
      </w:r>
      <w:bookmarkEnd w:id="101"/>
      <w:r>
        <w:rPr>
          <w:rFonts w:hint="eastAsia" w:ascii="仿宋" w:hAnsi="仿宋" w:eastAsia="仿宋" w:cs="宋体"/>
          <w:color w:val="auto"/>
          <w:sz w:val="24"/>
          <w:highlight w:val="none"/>
          <w:lang w:val="zh-CN"/>
        </w:rPr>
        <w:t>项目总价：按各项目单价与数量乘积的总和。</w:t>
      </w:r>
    </w:p>
    <w:p w14:paraId="401CB4E4">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13、偏离表</w:t>
      </w:r>
    </w:p>
    <w:p w14:paraId="60F9ACA4">
      <w:pPr>
        <w:spacing w:line="360" w:lineRule="auto"/>
        <w:ind w:firstLine="480" w:firstLineChars="200"/>
        <w:rPr>
          <w:rFonts w:ascii="仿宋" w:hAnsi="仿宋" w:eastAsia="仿宋"/>
          <w:bCs/>
          <w:color w:val="auto"/>
          <w:sz w:val="24"/>
          <w:highlight w:val="none"/>
        </w:rPr>
      </w:pPr>
      <w:r>
        <w:rPr>
          <w:rFonts w:ascii="仿宋" w:hAnsi="仿宋" w:eastAsia="仿宋"/>
          <w:color w:val="auto"/>
          <w:sz w:val="24"/>
          <w:highlight w:val="none"/>
        </w:rPr>
        <w:t>13.1</w:t>
      </w:r>
      <w:r>
        <w:rPr>
          <w:rFonts w:hint="eastAsia" w:ascii="仿宋" w:hAnsi="仿宋" w:eastAsia="仿宋"/>
          <w:bCs/>
          <w:color w:val="auto"/>
          <w:sz w:val="24"/>
          <w:highlight w:val="none"/>
        </w:rPr>
        <w:t>供应商应对竞争性磋商文件中规定的商务及技术部分给予充分的考虑。详见第六章《偏离表》相关要求。</w:t>
      </w:r>
    </w:p>
    <w:p w14:paraId="31690AC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13.2 </w:t>
      </w:r>
      <w:r>
        <w:rPr>
          <w:rFonts w:hint="eastAsia" w:ascii="仿宋" w:hAnsi="仿宋" w:eastAsia="仿宋"/>
          <w:color w:val="auto"/>
          <w:sz w:val="24"/>
          <w:highlight w:val="none"/>
        </w:rPr>
        <w:t>带★号的内容要求必须进行实质性响应，不响应和负偏离都将视为无效响应</w:t>
      </w:r>
      <w:r>
        <w:rPr>
          <w:rFonts w:ascii="仿宋" w:hAnsi="仿宋" w:eastAsia="仿宋"/>
          <w:color w:val="auto"/>
          <w:sz w:val="24"/>
          <w:highlight w:val="none"/>
        </w:rPr>
        <w:t>；</w:t>
      </w:r>
    </w:p>
    <w:p w14:paraId="1E8E796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13.</w:t>
      </w:r>
      <w:r>
        <w:rPr>
          <w:rFonts w:hint="eastAsia" w:ascii="仿宋" w:hAnsi="仿宋" w:eastAsia="仿宋"/>
          <w:color w:val="auto"/>
          <w:sz w:val="24"/>
          <w:highlight w:val="none"/>
        </w:rPr>
        <w:t>3</w:t>
      </w:r>
      <w:r>
        <w:rPr>
          <w:rFonts w:ascii="仿宋" w:hAnsi="仿宋" w:eastAsia="仿宋"/>
          <w:color w:val="auto"/>
          <w:sz w:val="24"/>
          <w:highlight w:val="none"/>
        </w:rPr>
        <w:t>供应商认为需要的其他技术文件或说明。</w:t>
      </w:r>
    </w:p>
    <w:p w14:paraId="186B7339">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14、服务承诺及服务机构、人员的情况介绍</w:t>
      </w:r>
    </w:p>
    <w:p w14:paraId="2166D11C">
      <w:pPr>
        <w:spacing w:line="360" w:lineRule="auto"/>
        <w:ind w:firstLine="480" w:firstLineChars="200"/>
        <w:rPr>
          <w:rFonts w:ascii="仿宋" w:hAnsi="仿宋" w:eastAsia="仿宋"/>
          <w:color w:val="auto"/>
          <w:sz w:val="24"/>
          <w:highlight w:val="none"/>
        </w:rPr>
      </w:pPr>
      <w:r>
        <w:rPr>
          <w:rFonts w:hint="eastAsia" w:ascii="仿宋" w:hAnsi="仿宋" w:eastAsia="仿宋"/>
          <w:bCs/>
          <w:color w:val="auto"/>
          <w:sz w:val="24"/>
          <w:highlight w:val="none"/>
        </w:rPr>
        <w:t>14</w:t>
      </w:r>
      <w:r>
        <w:rPr>
          <w:rFonts w:hint="eastAsia" w:ascii="仿宋" w:hAnsi="仿宋" w:eastAsia="仿宋"/>
          <w:color w:val="auto"/>
          <w:sz w:val="24"/>
          <w:highlight w:val="none"/>
          <w:lang w:val="zh-CN"/>
        </w:rPr>
        <w:t>.</w:t>
      </w:r>
      <w:r>
        <w:rPr>
          <w:rFonts w:hint="eastAsia" w:ascii="仿宋" w:hAnsi="仿宋" w:eastAsia="仿宋"/>
          <w:bCs/>
          <w:color w:val="auto"/>
          <w:sz w:val="24"/>
          <w:highlight w:val="none"/>
        </w:rPr>
        <w:t>1</w:t>
      </w:r>
      <w:r>
        <w:rPr>
          <w:rFonts w:hint="eastAsia" w:ascii="仿宋" w:hAnsi="仿宋" w:eastAsia="仿宋"/>
          <w:color w:val="auto"/>
          <w:sz w:val="24"/>
          <w:highlight w:val="none"/>
        </w:rPr>
        <w:t>供应商的服务承诺应按不低于竞争性磋商文件中商务要求的标准。</w:t>
      </w:r>
    </w:p>
    <w:p w14:paraId="2EBECB35">
      <w:pPr>
        <w:spacing w:line="360" w:lineRule="auto"/>
        <w:ind w:firstLine="480" w:firstLineChars="200"/>
        <w:rPr>
          <w:rFonts w:ascii="仿宋" w:hAnsi="仿宋" w:eastAsia="仿宋"/>
          <w:color w:val="auto"/>
          <w:sz w:val="24"/>
          <w:highlight w:val="none"/>
        </w:rPr>
      </w:pPr>
      <w:r>
        <w:rPr>
          <w:rFonts w:hint="eastAsia" w:ascii="仿宋" w:hAnsi="仿宋" w:eastAsia="仿宋"/>
          <w:bCs/>
          <w:color w:val="auto"/>
          <w:sz w:val="24"/>
          <w:highlight w:val="none"/>
        </w:rPr>
        <w:t>14</w:t>
      </w:r>
      <w:r>
        <w:rPr>
          <w:rFonts w:hint="eastAsia" w:ascii="仿宋" w:hAnsi="仿宋" w:eastAsia="仿宋"/>
          <w:color w:val="auto"/>
          <w:sz w:val="24"/>
          <w:highlight w:val="none"/>
          <w:lang w:val="zh-CN"/>
        </w:rPr>
        <w:t>.</w:t>
      </w:r>
      <w:r>
        <w:rPr>
          <w:rFonts w:hint="eastAsia" w:ascii="仿宋" w:hAnsi="仿宋" w:eastAsia="仿宋"/>
          <w:bCs/>
          <w:color w:val="auto"/>
          <w:sz w:val="24"/>
          <w:highlight w:val="none"/>
        </w:rPr>
        <w:t>2</w:t>
      </w:r>
      <w:r>
        <w:rPr>
          <w:rFonts w:hint="eastAsia" w:ascii="仿宋" w:hAnsi="仿宋" w:eastAsia="仿宋"/>
          <w:color w:val="auto"/>
          <w:sz w:val="24"/>
          <w:highlight w:val="none"/>
        </w:rPr>
        <w:t>供应商的服务机构、服务的制度、服务人员。</w:t>
      </w:r>
    </w:p>
    <w:p w14:paraId="758769CC">
      <w:pPr>
        <w:spacing w:line="360" w:lineRule="auto"/>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14.3提供参加本项目实施的组成人员资历表，包括每个组成人员的技术职业资格和项目中承担的角色。</w:t>
      </w:r>
    </w:p>
    <w:p w14:paraId="559D1AB9">
      <w:pPr>
        <w:pStyle w:val="5"/>
        <w:spacing w:before="0" w:after="0" w:line="360" w:lineRule="auto"/>
        <w:ind w:firstLine="422" w:firstLineChars="150"/>
        <w:rPr>
          <w:rFonts w:ascii="仿宋" w:hAnsi="仿宋" w:eastAsia="仿宋"/>
          <w:bCs w:val="0"/>
          <w:color w:val="auto"/>
          <w:highlight w:val="none"/>
        </w:rPr>
      </w:pPr>
      <w:bookmarkStart w:id="102" w:name="_Toc49090510"/>
      <w:bookmarkStart w:id="103" w:name="_Toc14577359"/>
      <w:r>
        <w:rPr>
          <w:rFonts w:ascii="仿宋" w:hAnsi="仿宋" w:eastAsia="仿宋"/>
          <w:bCs w:val="0"/>
          <w:color w:val="auto"/>
          <w:highlight w:val="none"/>
        </w:rPr>
        <w:t>15、响应函和</w:t>
      </w:r>
      <w:r>
        <w:rPr>
          <w:rFonts w:hint="eastAsia" w:ascii="仿宋" w:hAnsi="仿宋" w:eastAsia="仿宋"/>
          <w:bCs w:val="0"/>
          <w:color w:val="auto"/>
          <w:highlight w:val="none"/>
        </w:rPr>
        <w:t>报价一览表</w:t>
      </w:r>
    </w:p>
    <w:p w14:paraId="6B708E75">
      <w:pPr>
        <w:spacing w:line="360" w:lineRule="auto"/>
        <w:ind w:firstLine="480" w:firstLineChars="200"/>
        <w:rPr>
          <w:rFonts w:ascii="仿宋" w:hAnsi="仿宋" w:eastAsia="仿宋"/>
          <w:b/>
          <w:color w:val="auto"/>
          <w:sz w:val="24"/>
          <w:highlight w:val="none"/>
        </w:rPr>
      </w:pPr>
      <w:r>
        <w:rPr>
          <w:rFonts w:ascii="仿宋" w:hAnsi="仿宋" w:eastAsia="仿宋"/>
          <w:bCs/>
          <w:color w:val="auto"/>
          <w:sz w:val="24"/>
          <w:highlight w:val="none"/>
        </w:rPr>
        <w:t>15.1</w:t>
      </w:r>
      <w:r>
        <w:rPr>
          <w:rFonts w:ascii="仿宋" w:hAnsi="仿宋" w:eastAsia="仿宋"/>
          <w:color w:val="auto"/>
          <w:sz w:val="24"/>
          <w:highlight w:val="none"/>
        </w:rPr>
        <w:t>供应商应按照竞争性磋商文件中提供的格式完整、正确填写响应函、</w:t>
      </w:r>
      <w:r>
        <w:rPr>
          <w:rFonts w:hint="eastAsia" w:ascii="仿宋" w:hAnsi="仿宋" w:eastAsia="仿宋"/>
          <w:color w:val="auto"/>
          <w:sz w:val="24"/>
          <w:highlight w:val="none"/>
        </w:rPr>
        <w:t>报价一览表</w:t>
      </w:r>
      <w:r>
        <w:rPr>
          <w:rFonts w:ascii="仿宋" w:hAnsi="仿宋" w:eastAsia="仿宋"/>
          <w:color w:val="auto"/>
          <w:sz w:val="24"/>
          <w:highlight w:val="none"/>
        </w:rPr>
        <w:t>。</w:t>
      </w:r>
      <w:r>
        <w:rPr>
          <w:rFonts w:hint="eastAsia" w:ascii="仿宋" w:hAnsi="仿宋" w:eastAsia="仿宋"/>
          <w:b/>
          <w:color w:val="auto"/>
          <w:sz w:val="24"/>
          <w:highlight w:val="none"/>
        </w:rPr>
        <w:t>报价一览表</w:t>
      </w:r>
      <w:r>
        <w:rPr>
          <w:rFonts w:ascii="仿宋" w:hAnsi="仿宋" w:eastAsia="仿宋"/>
          <w:b/>
          <w:color w:val="auto"/>
          <w:sz w:val="24"/>
          <w:highlight w:val="none"/>
        </w:rPr>
        <w:t>必须按照本文件格式要求填写并按照格式要求在</w:t>
      </w:r>
      <w:r>
        <w:rPr>
          <w:rFonts w:hint="eastAsia" w:ascii="仿宋" w:hAnsi="仿宋" w:eastAsia="仿宋"/>
          <w:b/>
          <w:color w:val="auto"/>
          <w:sz w:val="24"/>
          <w:highlight w:val="none"/>
        </w:rPr>
        <w:t>规</w:t>
      </w:r>
      <w:r>
        <w:rPr>
          <w:rFonts w:ascii="仿宋" w:hAnsi="仿宋" w:eastAsia="仿宋"/>
          <w:b/>
          <w:color w:val="auto"/>
          <w:sz w:val="24"/>
          <w:highlight w:val="none"/>
        </w:rPr>
        <w:t>定位置盖章</w:t>
      </w:r>
      <w:r>
        <w:rPr>
          <w:rFonts w:hint="eastAsia" w:ascii="仿宋" w:hAnsi="仿宋" w:eastAsia="仿宋"/>
          <w:b/>
          <w:color w:val="auto"/>
          <w:sz w:val="24"/>
          <w:highlight w:val="none"/>
        </w:rPr>
        <w:t>及</w:t>
      </w:r>
      <w:r>
        <w:rPr>
          <w:rFonts w:ascii="仿宋" w:hAnsi="仿宋" w:eastAsia="仿宋"/>
          <w:b/>
          <w:color w:val="auto"/>
          <w:sz w:val="24"/>
          <w:highlight w:val="none"/>
        </w:rPr>
        <w:t>签字。</w:t>
      </w:r>
    </w:p>
    <w:p w14:paraId="663D8F7F">
      <w:pPr>
        <w:spacing w:line="360" w:lineRule="auto"/>
        <w:ind w:firstLine="480" w:firstLineChars="200"/>
        <w:rPr>
          <w:rFonts w:ascii="仿宋" w:hAnsi="仿宋" w:eastAsia="仿宋"/>
          <w:color w:val="auto"/>
          <w:sz w:val="24"/>
          <w:highlight w:val="none"/>
        </w:rPr>
      </w:pPr>
      <w:r>
        <w:rPr>
          <w:rFonts w:ascii="仿宋" w:hAnsi="仿宋" w:eastAsia="仿宋"/>
          <w:bCs/>
          <w:color w:val="auto"/>
          <w:sz w:val="24"/>
          <w:highlight w:val="none"/>
        </w:rPr>
        <w:t>15.2</w:t>
      </w:r>
      <w:r>
        <w:rPr>
          <w:rFonts w:ascii="仿宋" w:hAnsi="仿宋" w:eastAsia="仿宋"/>
          <w:color w:val="auto"/>
          <w:sz w:val="24"/>
          <w:highlight w:val="none"/>
        </w:rPr>
        <w:t xml:space="preserve"> </w:t>
      </w:r>
      <w:r>
        <w:rPr>
          <w:rFonts w:hint="eastAsia" w:ascii="仿宋" w:hAnsi="仿宋" w:eastAsia="仿宋"/>
          <w:bCs/>
          <w:color w:val="auto"/>
          <w:sz w:val="24"/>
          <w:highlight w:val="none"/>
        </w:rPr>
        <w:t>报价一览表</w:t>
      </w:r>
      <w:r>
        <w:rPr>
          <w:rFonts w:ascii="仿宋" w:hAnsi="仿宋" w:eastAsia="仿宋"/>
          <w:bCs/>
          <w:color w:val="auto"/>
          <w:sz w:val="24"/>
          <w:highlight w:val="none"/>
        </w:rPr>
        <w:t>中的价格应与响应文件中投标配置与分项报价表中的价格一致。如出现不一致的情况，评标时一律按</w:t>
      </w:r>
      <w:r>
        <w:rPr>
          <w:rFonts w:hint="eastAsia" w:ascii="仿宋" w:hAnsi="仿宋" w:eastAsia="仿宋"/>
          <w:bCs/>
          <w:color w:val="auto"/>
          <w:sz w:val="24"/>
          <w:highlight w:val="none"/>
        </w:rPr>
        <w:t>报价一览表</w:t>
      </w:r>
      <w:r>
        <w:rPr>
          <w:rFonts w:ascii="仿宋" w:hAnsi="仿宋" w:eastAsia="仿宋"/>
          <w:bCs/>
          <w:color w:val="auto"/>
          <w:sz w:val="24"/>
          <w:highlight w:val="none"/>
        </w:rPr>
        <w:t>中价格为准</w:t>
      </w:r>
      <w:r>
        <w:rPr>
          <w:rFonts w:ascii="仿宋" w:hAnsi="仿宋" w:eastAsia="仿宋"/>
          <w:b/>
          <w:bCs/>
          <w:color w:val="auto"/>
          <w:sz w:val="24"/>
          <w:highlight w:val="none"/>
        </w:rPr>
        <w:t>。</w:t>
      </w:r>
    </w:p>
    <w:p w14:paraId="7EB03959">
      <w:pPr>
        <w:spacing w:line="360" w:lineRule="auto"/>
        <w:ind w:firstLine="480" w:firstLineChars="200"/>
        <w:rPr>
          <w:rFonts w:ascii="仿宋" w:hAnsi="仿宋" w:eastAsia="仿宋"/>
          <w:color w:val="auto"/>
          <w:sz w:val="24"/>
          <w:highlight w:val="none"/>
        </w:rPr>
      </w:pPr>
      <w:r>
        <w:rPr>
          <w:rFonts w:ascii="仿宋" w:hAnsi="仿宋" w:eastAsia="仿宋"/>
          <w:bCs/>
          <w:color w:val="auto"/>
          <w:sz w:val="24"/>
          <w:highlight w:val="none"/>
        </w:rPr>
        <w:t>15.3</w:t>
      </w:r>
      <w:r>
        <w:rPr>
          <w:rFonts w:hint="eastAsia" w:ascii="仿宋" w:hAnsi="仿宋" w:eastAsia="仿宋"/>
          <w:color w:val="auto"/>
          <w:sz w:val="24"/>
          <w:highlight w:val="none"/>
        </w:rPr>
        <w:t>报价一览表</w:t>
      </w:r>
      <w:r>
        <w:rPr>
          <w:rFonts w:ascii="仿宋" w:hAnsi="仿宋" w:eastAsia="仿宋"/>
          <w:color w:val="auto"/>
          <w:sz w:val="24"/>
          <w:highlight w:val="none"/>
        </w:rPr>
        <w:t>分项报价加和汇总与总价不一致以分项报价为准进行修正。</w:t>
      </w:r>
    </w:p>
    <w:bookmarkEnd w:id="102"/>
    <w:bookmarkEnd w:id="103"/>
    <w:p w14:paraId="0BBE9B5B">
      <w:pPr>
        <w:pStyle w:val="5"/>
        <w:spacing w:before="0" w:after="0" w:line="360" w:lineRule="auto"/>
        <w:ind w:firstLine="422" w:firstLineChars="150"/>
        <w:rPr>
          <w:rFonts w:ascii="仿宋" w:hAnsi="仿宋" w:eastAsia="仿宋"/>
          <w:bCs w:val="0"/>
          <w:color w:val="auto"/>
          <w:highlight w:val="none"/>
        </w:rPr>
      </w:pPr>
      <w:bookmarkStart w:id="104" w:name="_Hlt26954850"/>
      <w:bookmarkEnd w:id="104"/>
      <w:bookmarkStart w:id="105" w:name="_Hlt26670489"/>
      <w:bookmarkEnd w:id="105"/>
      <w:bookmarkStart w:id="106" w:name="_Hlt26954734"/>
      <w:bookmarkEnd w:id="106"/>
      <w:bookmarkStart w:id="107" w:name="_Toc49090511"/>
      <w:bookmarkStart w:id="108" w:name="_Toc14577360"/>
      <w:r>
        <w:rPr>
          <w:rFonts w:ascii="仿宋" w:hAnsi="仿宋" w:eastAsia="仿宋"/>
          <w:bCs w:val="0"/>
          <w:color w:val="auto"/>
          <w:highlight w:val="none"/>
        </w:rPr>
        <w:t>16、磋商保证金</w:t>
      </w:r>
    </w:p>
    <w:p w14:paraId="147EDFEB">
      <w:pPr>
        <w:spacing w:line="360" w:lineRule="auto"/>
        <w:ind w:firstLine="480" w:firstLineChars="200"/>
        <w:rPr>
          <w:rFonts w:ascii="仿宋" w:hAnsi="仿宋" w:eastAsia="仿宋"/>
          <w:bCs/>
          <w:color w:val="auto"/>
          <w:sz w:val="24"/>
          <w:highlight w:val="none"/>
        </w:rPr>
      </w:pPr>
      <w:r>
        <w:rPr>
          <w:rFonts w:ascii="仿宋" w:hAnsi="仿宋" w:eastAsia="仿宋"/>
          <w:color w:val="auto"/>
          <w:sz w:val="24"/>
          <w:highlight w:val="none"/>
        </w:rPr>
        <w:t>16.1</w:t>
      </w:r>
      <w:r>
        <w:rPr>
          <w:rFonts w:ascii="仿宋" w:hAnsi="仿宋" w:eastAsia="仿宋"/>
          <w:bCs/>
          <w:color w:val="auto"/>
          <w:sz w:val="24"/>
          <w:highlight w:val="none"/>
        </w:rPr>
        <w:t xml:space="preserve"> 供应商提交的磋商保证金</w:t>
      </w:r>
      <w:r>
        <w:rPr>
          <w:rFonts w:hint="eastAsia" w:ascii="仿宋" w:hAnsi="仿宋" w:eastAsia="仿宋"/>
          <w:bCs/>
          <w:color w:val="auto"/>
          <w:sz w:val="24"/>
          <w:highlight w:val="none"/>
        </w:rPr>
        <w:t>应</w:t>
      </w:r>
      <w:r>
        <w:rPr>
          <w:rFonts w:hint="eastAsia" w:ascii="仿宋" w:hAnsi="仿宋" w:eastAsia="仿宋"/>
          <w:b/>
          <w:bCs/>
          <w:color w:val="auto"/>
          <w:sz w:val="24"/>
          <w:highlight w:val="none"/>
          <w:u w:val="single"/>
        </w:rPr>
        <w:t>从供应商银行账户电汇或转账形式一次性递交至采购代理机构指定账户</w:t>
      </w:r>
      <w:r>
        <w:rPr>
          <w:rFonts w:ascii="仿宋" w:hAnsi="仿宋" w:eastAsia="仿宋"/>
          <w:b/>
          <w:bCs/>
          <w:color w:val="auto"/>
          <w:sz w:val="24"/>
          <w:highlight w:val="none"/>
        </w:rPr>
        <w:t>。</w:t>
      </w:r>
    </w:p>
    <w:p w14:paraId="41F14E47">
      <w:pPr>
        <w:spacing w:line="360" w:lineRule="auto"/>
        <w:ind w:firstLine="480" w:firstLineChars="200"/>
        <w:rPr>
          <w:rFonts w:ascii="仿宋" w:hAnsi="仿宋" w:eastAsia="仿宋"/>
          <w:bCs/>
          <w:color w:val="auto"/>
          <w:sz w:val="24"/>
          <w:highlight w:val="none"/>
        </w:rPr>
      </w:pPr>
      <w:r>
        <w:rPr>
          <w:rFonts w:ascii="仿宋" w:hAnsi="仿宋" w:eastAsia="仿宋"/>
          <w:color w:val="auto"/>
          <w:sz w:val="24"/>
          <w:highlight w:val="none"/>
        </w:rPr>
        <w:t>16.2</w:t>
      </w:r>
      <w:r>
        <w:rPr>
          <w:rFonts w:ascii="仿宋" w:hAnsi="仿宋" w:eastAsia="仿宋"/>
          <w:b/>
          <w:bCs/>
          <w:color w:val="auto"/>
          <w:sz w:val="24"/>
          <w:highlight w:val="none"/>
          <w:u w:val="single"/>
        </w:rPr>
        <w:t>竞争性磋商时，对于未按</w:t>
      </w:r>
      <w:r>
        <w:rPr>
          <w:rFonts w:hint="eastAsia" w:ascii="仿宋" w:hAnsi="仿宋" w:eastAsia="仿宋"/>
          <w:b/>
          <w:bCs/>
          <w:color w:val="auto"/>
          <w:sz w:val="24"/>
          <w:highlight w:val="none"/>
          <w:u w:val="single"/>
        </w:rPr>
        <w:t>竞争性磋商公告</w:t>
      </w:r>
      <w:r>
        <w:rPr>
          <w:rFonts w:ascii="仿宋" w:hAnsi="仿宋" w:eastAsia="仿宋"/>
          <w:b/>
          <w:bCs/>
          <w:color w:val="auto"/>
          <w:sz w:val="24"/>
          <w:highlight w:val="none"/>
          <w:u w:val="single"/>
        </w:rPr>
        <w:t>要求提交磋商保证金的，将被视为</w:t>
      </w:r>
      <w:r>
        <w:rPr>
          <w:rFonts w:hint="eastAsia" w:ascii="仿宋" w:hAnsi="仿宋" w:eastAsia="仿宋"/>
          <w:b/>
          <w:bCs/>
          <w:color w:val="auto"/>
          <w:sz w:val="24"/>
          <w:highlight w:val="none"/>
          <w:u w:val="single"/>
        </w:rPr>
        <w:t>无效响应</w:t>
      </w:r>
      <w:r>
        <w:rPr>
          <w:rFonts w:ascii="仿宋" w:hAnsi="仿宋" w:eastAsia="仿宋"/>
          <w:b/>
          <w:bCs/>
          <w:color w:val="auto"/>
          <w:sz w:val="24"/>
          <w:highlight w:val="none"/>
          <w:u w:val="single"/>
        </w:rPr>
        <w:t>而予以拒绝。</w:t>
      </w:r>
    </w:p>
    <w:p w14:paraId="4E10902B">
      <w:pPr>
        <w:spacing w:line="360" w:lineRule="auto"/>
        <w:ind w:firstLine="480" w:firstLineChars="200"/>
        <w:rPr>
          <w:rFonts w:ascii="仿宋" w:hAnsi="仿宋" w:eastAsia="仿宋"/>
          <w:bCs/>
          <w:color w:val="auto"/>
          <w:sz w:val="24"/>
          <w:highlight w:val="none"/>
        </w:rPr>
      </w:pPr>
      <w:r>
        <w:rPr>
          <w:rFonts w:ascii="仿宋" w:hAnsi="仿宋" w:eastAsia="仿宋"/>
          <w:color w:val="auto"/>
          <w:sz w:val="24"/>
          <w:highlight w:val="none"/>
        </w:rPr>
        <w:t>16.3</w:t>
      </w:r>
      <w:r>
        <w:rPr>
          <w:rFonts w:ascii="仿宋" w:hAnsi="仿宋" w:eastAsia="仿宋"/>
          <w:bCs/>
          <w:color w:val="auto"/>
          <w:sz w:val="24"/>
          <w:highlight w:val="none"/>
        </w:rPr>
        <w:t>未中标的供应商的磋商保证金，将在成交通知书发出</w:t>
      </w:r>
      <w:r>
        <w:rPr>
          <w:rFonts w:hint="eastAsia" w:ascii="仿宋" w:hAnsi="仿宋" w:eastAsia="仿宋" w:cs="仿宋"/>
          <w:color w:val="auto"/>
          <w:sz w:val="24"/>
          <w:highlight w:val="none"/>
        </w:rPr>
        <w:t>之日起5个工作日</w:t>
      </w:r>
      <w:r>
        <w:rPr>
          <w:rFonts w:ascii="仿宋" w:hAnsi="仿宋" w:eastAsia="仿宋"/>
          <w:bCs/>
          <w:color w:val="auto"/>
          <w:sz w:val="24"/>
          <w:highlight w:val="none"/>
        </w:rPr>
        <w:t>内予以退还，不计利息。</w:t>
      </w:r>
    </w:p>
    <w:p w14:paraId="2D6BF91A">
      <w:pPr>
        <w:spacing w:line="360" w:lineRule="auto"/>
        <w:ind w:firstLine="480" w:firstLineChars="200"/>
        <w:rPr>
          <w:rFonts w:ascii="仿宋" w:hAnsi="仿宋" w:eastAsia="仿宋"/>
          <w:bCs/>
          <w:color w:val="auto"/>
          <w:sz w:val="24"/>
          <w:highlight w:val="none"/>
        </w:rPr>
      </w:pPr>
      <w:r>
        <w:rPr>
          <w:rFonts w:ascii="仿宋" w:hAnsi="仿宋" w:eastAsia="仿宋"/>
          <w:color w:val="auto"/>
          <w:sz w:val="24"/>
          <w:highlight w:val="none"/>
        </w:rPr>
        <w:t>16.4</w:t>
      </w:r>
      <w:r>
        <w:rPr>
          <w:rFonts w:ascii="仿宋" w:hAnsi="仿宋" w:eastAsia="仿宋"/>
          <w:bCs/>
          <w:color w:val="auto"/>
          <w:sz w:val="24"/>
          <w:highlight w:val="none"/>
        </w:rPr>
        <w:t xml:space="preserve"> 成交供应商的磋商保证金，</w:t>
      </w:r>
      <w:r>
        <w:rPr>
          <w:rFonts w:hint="eastAsia" w:ascii="仿宋" w:hAnsi="仿宋" w:eastAsia="仿宋"/>
          <w:bCs/>
          <w:color w:val="auto"/>
          <w:sz w:val="24"/>
          <w:highlight w:val="none"/>
        </w:rPr>
        <w:t>在合同签署并</w:t>
      </w:r>
      <w:r>
        <w:rPr>
          <w:rFonts w:ascii="仿宋" w:hAnsi="仿宋" w:eastAsia="仿宋"/>
          <w:bCs/>
          <w:color w:val="auto"/>
          <w:sz w:val="24"/>
          <w:highlight w:val="none"/>
        </w:rPr>
        <w:t>向采购代理机构</w:t>
      </w:r>
      <w:r>
        <w:rPr>
          <w:rFonts w:hint="eastAsia" w:ascii="仿宋" w:hAnsi="仿宋" w:eastAsia="仿宋"/>
          <w:bCs/>
          <w:color w:val="auto"/>
          <w:sz w:val="24"/>
          <w:highlight w:val="none"/>
        </w:rPr>
        <w:t>进行备案后退还</w:t>
      </w:r>
      <w:r>
        <w:rPr>
          <w:rFonts w:ascii="仿宋" w:hAnsi="仿宋" w:eastAsia="仿宋"/>
          <w:bCs/>
          <w:color w:val="auto"/>
          <w:sz w:val="24"/>
          <w:highlight w:val="none"/>
        </w:rPr>
        <w:t>。</w:t>
      </w:r>
    </w:p>
    <w:p w14:paraId="3E2476E3">
      <w:pPr>
        <w:spacing w:line="360" w:lineRule="auto"/>
        <w:ind w:firstLine="482" w:firstLineChars="200"/>
        <w:rPr>
          <w:rFonts w:ascii="仿宋" w:hAnsi="仿宋" w:eastAsia="仿宋"/>
          <w:b/>
          <w:bCs/>
          <w:color w:val="auto"/>
          <w:sz w:val="24"/>
          <w:highlight w:val="none"/>
        </w:rPr>
      </w:pPr>
      <w:r>
        <w:rPr>
          <w:rFonts w:ascii="仿宋" w:hAnsi="仿宋" w:eastAsia="仿宋"/>
          <w:b/>
          <w:color w:val="auto"/>
          <w:sz w:val="24"/>
          <w:highlight w:val="none"/>
        </w:rPr>
        <w:t xml:space="preserve">16.5 </w:t>
      </w:r>
      <w:r>
        <w:rPr>
          <w:rFonts w:ascii="仿宋" w:hAnsi="仿宋" w:eastAsia="仿宋"/>
          <w:b/>
          <w:bCs/>
          <w:color w:val="auto"/>
          <w:sz w:val="24"/>
          <w:highlight w:val="none"/>
        </w:rPr>
        <w:t>下列任何</w:t>
      </w:r>
      <w:r>
        <w:rPr>
          <w:rFonts w:hint="eastAsia" w:ascii="仿宋" w:hAnsi="仿宋" w:eastAsia="仿宋"/>
          <w:b/>
          <w:bCs/>
          <w:color w:val="auto"/>
          <w:sz w:val="24"/>
          <w:highlight w:val="none"/>
        </w:rPr>
        <w:t>一</w:t>
      </w:r>
      <w:r>
        <w:rPr>
          <w:rFonts w:ascii="仿宋" w:hAnsi="仿宋" w:eastAsia="仿宋"/>
          <w:b/>
          <w:bCs/>
          <w:color w:val="auto"/>
          <w:sz w:val="24"/>
          <w:highlight w:val="none"/>
        </w:rPr>
        <w:t>种情况发生时，磋商保证金将</w:t>
      </w:r>
      <w:r>
        <w:rPr>
          <w:rFonts w:hint="eastAsia" w:ascii="仿宋" w:hAnsi="仿宋" w:eastAsia="仿宋"/>
          <w:b/>
          <w:bCs/>
          <w:color w:val="auto"/>
          <w:sz w:val="24"/>
          <w:highlight w:val="none"/>
        </w:rPr>
        <w:t>不予退还，已经中标的，取消其中标资格，并列入本采购代理机构不良行为记录名单予以公布，</w:t>
      </w:r>
      <w:r>
        <w:rPr>
          <w:rFonts w:hint="eastAsia" w:ascii="仿宋" w:hAnsi="仿宋" w:eastAsia="仿宋" w:cs="仿宋"/>
          <w:b/>
          <w:bCs/>
          <w:color w:val="auto"/>
          <w:sz w:val="24"/>
          <w:highlight w:val="none"/>
        </w:rPr>
        <w:t>在一至两</w:t>
      </w:r>
      <w:r>
        <w:rPr>
          <w:rFonts w:hint="eastAsia" w:ascii="仿宋" w:hAnsi="仿宋" w:eastAsia="仿宋"/>
          <w:b/>
          <w:bCs/>
          <w:color w:val="auto"/>
          <w:sz w:val="24"/>
          <w:highlight w:val="none"/>
        </w:rPr>
        <w:t>年内不得参与本采购代理机构组织的项目。已经签约的，所签订的合同无效，同时采购人及</w:t>
      </w:r>
      <w:r>
        <w:rPr>
          <w:rFonts w:ascii="仿宋" w:hAnsi="仿宋" w:eastAsia="仿宋"/>
          <w:b/>
          <w:bCs/>
          <w:color w:val="auto"/>
          <w:sz w:val="24"/>
          <w:highlight w:val="none"/>
        </w:rPr>
        <w:t>采购代理机构</w:t>
      </w:r>
      <w:r>
        <w:rPr>
          <w:rFonts w:hint="eastAsia" w:ascii="仿宋" w:hAnsi="仿宋" w:eastAsia="仿宋"/>
          <w:b/>
          <w:bCs/>
          <w:color w:val="auto"/>
          <w:sz w:val="24"/>
          <w:highlight w:val="none"/>
        </w:rPr>
        <w:t>不承担任何责任</w:t>
      </w:r>
      <w:r>
        <w:rPr>
          <w:rFonts w:ascii="仿宋" w:hAnsi="仿宋" w:eastAsia="仿宋"/>
          <w:b/>
          <w:bCs/>
          <w:color w:val="auto"/>
          <w:sz w:val="24"/>
          <w:highlight w:val="none"/>
        </w:rPr>
        <w:t>：</w:t>
      </w:r>
    </w:p>
    <w:p w14:paraId="16690551">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（一）供应商提供虚假材料谋取中标（成交）的；</w:t>
      </w:r>
    </w:p>
    <w:p w14:paraId="7ACD4B01">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（二）供应商采取不正当手段诋毁、排挤或串通他人的；</w:t>
      </w:r>
    </w:p>
    <w:p w14:paraId="4BD686B7">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（三）</w:t>
      </w:r>
      <w:r>
        <w:rPr>
          <w:rFonts w:ascii="仿宋" w:hAnsi="仿宋" w:eastAsia="仿宋"/>
          <w:color w:val="auto"/>
          <w:sz w:val="24"/>
          <w:highlight w:val="none"/>
        </w:rPr>
        <w:t>供应商</w:t>
      </w:r>
      <w:r>
        <w:rPr>
          <w:rFonts w:hint="eastAsia" w:ascii="仿宋" w:hAnsi="仿宋" w:eastAsia="仿宋"/>
          <w:color w:val="auto"/>
          <w:sz w:val="24"/>
          <w:highlight w:val="none"/>
        </w:rPr>
        <w:t>扰乱开标、</w:t>
      </w:r>
      <w:r>
        <w:rPr>
          <w:rFonts w:ascii="仿宋" w:hAnsi="仿宋" w:eastAsia="仿宋"/>
          <w:color w:val="auto"/>
          <w:sz w:val="24"/>
          <w:highlight w:val="none"/>
        </w:rPr>
        <w:t>评标</w:t>
      </w:r>
      <w:r>
        <w:rPr>
          <w:rFonts w:hint="eastAsia" w:ascii="仿宋" w:hAnsi="仿宋" w:eastAsia="仿宋"/>
          <w:color w:val="auto"/>
          <w:sz w:val="24"/>
          <w:highlight w:val="none"/>
        </w:rPr>
        <w:t>现场、影响评审或办公秩序的；</w:t>
      </w:r>
    </w:p>
    <w:p w14:paraId="3D203BB9">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（四）捏造事实、提供虚假材料、以非法手段取得证明材料或者未按规定程序进行质疑、投诉、诉讼，影响项目正常进行的；</w:t>
      </w:r>
    </w:p>
    <w:p w14:paraId="4D1E12FA">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（五）提出不当要求，向</w:t>
      </w:r>
      <w:r>
        <w:rPr>
          <w:rFonts w:ascii="仿宋" w:hAnsi="仿宋" w:eastAsia="仿宋"/>
          <w:color w:val="auto"/>
          <w:sz w:val="24"/>
          <w:highlight w:val="none"/>
        </w:rPr>
        <w:t>采购代理机构或采购人</w:t>
      </w:r>
      <w:r>
        <w:rPr>
          <w:rFonts w:hint="eastAsia" w:ascii="仿宋" w:hAnsi="仿宋" w:eastAsia="仿宋"/>
          <w:color w:val="auto"/>
          <w:sz w:val="24"/>
          <w:highlight w:val="none"/>
        </w:rPr>
        <w:t>进行恶意敲诈的；</w:t>
      </w:r>
    </w:p>
    <w:p w14:paraId="5143ED1D">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（六）成交供应商在规定期限内未交纳中标服务费</w:t>
      </w:r>
      <w:r>
        <w:rPr>
          <w:rFonts w:ascii="仿宋" w:hAnsi="仿宋" w:eastAsia="仿宋"/>
          <w:color w:val="auto"/>
          <w:sz w:val="24"/>
          <w:highlight w:val="none"/>
        </w:rPr>
        <w:t>的</w:t>
      </w:r>
      <w:r>
        <w:rPr>
          <w:rFonts w:hint="eastAsia" w:ascii="仿宋" w:hAnsi="仿宋" w:eastAsia="仿宋"/>
          <w:color w:val="auto"/>
          <w:sz w:val="24"/>
          <w:highlight w:val="none"/>
        </w:rPr>
        <w:t>。</w:t>
      </w:r>
    </w:p>
    <w:p w14:paraId="694D9B42">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（七）中标（成交）后，无正当理由拒不签订合同或者合同签订后未能履行又不按约赔偿的；</w:t>
      </w:r>
    </w:p>
    <w:p w14:paraId="08294BEB">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（八）</w:t>
      </w:r>
      <w:r>
        <w:rPr>
          <w:rFonts w:ascii="仿宋" w:hAnsi="仿宋" w:eastAsia="仿宋"/>
          <w:color w:val="auto"/>
          <w:sz w:val="24"/>
          <w:highlight w:val="none"/>
        </w:rPr>
        <w:t>向评审专家、</w:t>
      </w:r>
      <w:r>
        <w:rPr>
          <w:rFonts w:hint="eastAsia" w:ascii="仿宋" w:hAnsi="仿宋" w:eastAsia="仿宋"/>
          <w:color w:val="auto"/>
          <w:sz w:val="24"/>
          <w:highlight w:val="none"/>
        </w:rPr>
        <w:t>采购人、其他项目参与人</w:t>
      </w:r>
      <w:r>
        <w:rPr>
          <w:rFonts w:ascii="仿宋" w:hAnsi="仿宋" w:eastAsia="仿宋"/>
          <w:color w:val="auto"/>
          <w:sz w:val="24"/>
          <w:highlight w:val="none"/>
        </w:rPr>
        <w:t>或</w:t>
      </w:r>
      <w:r>
        <w:rPr>
          <w:rFonts w:hint="eastAsia" w:ascii="仿宋" w:hAnsi="仿宋" w:eastAsia="仿宋"/>
          <w:color w:val="auto"/>
          <w:sz w:val="24"/>
          <w:highlight w:val="none"/>
        </w:rPr>
        <w:t>招标</w:t>
      </w:r>
      <w:r>
        <w:rPr>
          <w:rFonts w:ascii="仿宋" w:hAnsi="仿宋" w:eastAsia="仿宋"/>
          <w:color w:val="auto"/>
          <w:sz w:val="24"/>
          <w:highlight w:val="none"/>
        </w:rPr>
        <w:t>工作人员行贿或者提供其他不正当利益的</w:t>
      </w:r>
      <w:r>
        <w:rPr>
          <w:rFonts w:hint="eastAsia" w:ascii="仿宋" w:hAnsi="仿宋" w:eastAsia="仿宋"/>
          <w:color w:val="auto"/>
          <w:sz w:val="24"/>
          <w:highlight w:val="none"/>
        </w:rPr>
        <w:t>。</w:t>
      </w:r>
    </w:p>
    <w:p w14:paraId="6BC915FA">
      <w:pPr>
        <w:spacing w:line="360" w:lineRule="auto"/>
        <w:ind w:firstLine="361" w:firstLineChars="150"/>
        <w:rPr>
          <w:rFonts w:ascii="仿宋" w:hAnsi="仿宋" w:eastAsia="仿宋"/>
          <w:color w:val="auto"/>
          <w:sz w:val="24"/>
          <w:highlight w:val="none"/>
        </w:rPr>
      </w:pPr>
      <w:r>
        <w:rPr>
          <w:rFonts w:hint="eastAsia" w:ascii="仿宋" w:hAnsi="仿宋" w:eastAsia="仿宋"/>
          <w:b/>
          <w:bCs/>
          <w:color w:val="auto"/>
          <w:sz w:val="24"/>
          <w:highlight w:val="none"/>
        </w:rPr>
        <w:t>16.6成交供应商违反第16.5条规定，并且导致成交无效的，采购人可以与排位在原成交供应商之后第一位的成交候选人签订采购合同或重新委托进行招标，同时，采购人或采购代理机构有权要求原成交供应商承担相应损失（包括但不限于以下损失）：</w:t>
      </w:r>
    </w:p>
    <w:p w14:paraId="0E6BF9C5">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（一）原招标活动产生的合理费用；</w:t>
      </w:r>
    </w:p>
    <w:p w14:paraId="35226DB6">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（二）如最终成交价高于原成交价的，原成交供应商应当以成交价的差价对采购人进行赔偿。</w:t>
      </w:r>
    </w:p>
    <w:p w14:paraId="6B692443">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1</w:t>
      </w:r>
      <w:r>
        <w:rPr>
          <w:rFonts w:hint="eastAsia" w:ascii="仿宋" w:hAnsi="仿宋" w:eastAsia="仿宋"/>
          <w:bCs w:val="0"/>
          <w:color w:val="auto"/>
          <w:highlight w:val="none"/>
        </w:rPr>
        <w:t>7</w:t>
      </w:r>
      <w:r>
        <w:rPr>
          <w:rFonts w:ascii="仿宋" w:hAnsi="仿宋" w:eastAsia="仿宋"/>
          <w:bCs w:val="0"/>
          <w:color w:val="auto"/>
          <w:highlight w:val="none"/>
        </w:rPr>
        <w:t>、</w:t>
      </w:r>
      <w:r>
        <w:rPr>
          <w:rFonts w:hint="eastAsia" w:ascii="仿宋" w:hAnsi="仿宋" w:eastAsia="仿宋"/>
          <w:bCs w:val="0"/>
          <w:color w:val="auto"/>
          <w:highlight w:val="none"/>
        </w:rPr>
        <w:t>响应文件的</w:t>
      </w:r>
      <w:r>
        <w:rPr>
          <w:rFonts w:ascii="仿宋" w:hAnsi="仿宋" w:eastAsia="仿宋"/>
          <w:bCs w:val="0"/>
          <w:color w:val="auto"/>
          <w:highlight w:val="none"/>
        </w:rPr>
        <w:t>有效期</w:t>
      </w:r>
    </w:p>
    <w:p w14:paraId="4BCF0DAF">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自竞争性磋商当日起60天内，响应文件应保持有效。有效期短于这个规定期限的响应，将被拒绝。</w:t>
      </w:r>
    </w:p>
    <w:p w14:paraId="15409F59">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.2 在特殊情况下，</w:t>
      </w:r>
      <w:r>
        <w:rPr>
          <w:rFonts w:hint="eastAsia" w:ascii="仿宋" w:hAnsi="仿宋" w:eastAsia="仿宋"/>
          <w:color w:val="auto"/>
          <w:sz w:val="24"/>
          <w:highlight w:val="none"/>
        </w:rPr>
        <w:t>采购人或采购代理机构</w:t>
      </w:r>
      <w:r>
        <w:rPr>
          <w:rFonts w:ascii="仿宋" w:hAnsi="仿宋" w:eastAsia="仿宋"/>
          <w:color w:val="auto"/>
          <w:sz w:val="24"/>
          <w:highlight w:val="none"/>
        </w:rPr>
        <w:t>于原有效期满之前，可向供应商提出延长有效期的要求。这种要求与答复均应采用书面形式。供应商可以拒绝</w:t>
      </w:r>
      <w:r>
        <w:rPr>
          <w:rFonts w:hint="eastAsia" w:ascii="仿宋" w:hAnsi="仿宋" w:eastAsia="仿宋"/>
          <w:color w:val="auto"/>
          <w:sz w:val="24"/>
          <w:highlight w:val="none"/>
        </w:rPr>
        <w:t>采购人或采购代理机构</w:t>
      </w:r>
      <w:r>
        <w:rPr>
          <w:rFonts w:ascii="仿宋" w:hAnsi="仿宋" w:eastAsia="仿宋"/>
          <w:color w:val="auto"/>
          <w:sz w:val="24"/>
          <w:highlight w:val="none"/>
        </w:rPr>
        <w:t>的这一要求而放弃</w:t>
      </w:r>
      <w:r>
        <w:rPr>
          <w:rFonts w:hint="eastAsia" w:ascii="仿宋" w:hAnsi="仿宋" w:eastAsia="仿宋"/>
          <w:color w:val="auto"/>
          <w:sz w:val="24"/>
          <w:highlight w:val="none"/>
        </w:rPr>
        <w:t>参加竞争性磋商</w:t>
      </w:r>
      <w:r>
        <w:rPr>
          <w:rFonts w:ascii="仿宋" w:hAnsi="仿宋" w:eastAsia="仿宋"/>
          <w:color w:val="auto"/>
          <w:sz w:val="24"/>
          <w:highlight w:val="none"/>
        </w:rPr>
        <w:t>。同意延长有效期的供应商既不能要求也不允许修改其响应文件。</w:t>
      </w:r>
    </w:p>
    <w:p w14:paraId="67CA12D0">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1</w:t>
      </w:r>
      <w:r>
        <w:rPr>
          <w:rFonts w:hint="eastAsia" w:ascii="仿宋" w:hAnsi="仿宋" w:eastAsia="仿宋"/>
          <w:bCs w:val="0"/>
          <w:color w:val="auto"/>
          <w:highlight w:val="none"/>
        </w:rPr>
        <w:t>8</w:t>
      </w:r>
      <w:r>
        <w:rPr>
          <w:rFonts w:ascii="仿宋" w:hAnsi="仿宋" w:eastAsia="仿宋"/>
          <w:bCs w:val="0"/>
          <w:color w:val="auto"/>
          <w:highlight w:val="none"/>
        </w:rPr>
        <w:t>、响应文件份数和签署</w:t>
      </w:r>
    </w:p>
    <w:p w14:paraId="48F8B2A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.1 供应商应严格按照竞争性磋商公告要求的份数准备响应文件，每份响应文件须清楚地标明“正本”或“副本”字样。一旦正本和副本不符，以正本为准。</w:t>
      </w:r>
    </w:p>
    <w:p w14:paraId="6A16E57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.2 响应文件的正本和所有的副本均需打印或复印，</w:t>
      </w:r>
      <w:r>
        <w:rPr>
          <w:rFonts w:hint="eastAsia" w:ascii="仿宋" w:hAnsi="仿宋" w:eastAsia="仿宋" w:cs="仿宋"/>
          <w:color w:val="auto"/>
          <w:sz w:val="24"/>
          <w:highlight w:val="none"/>
        </w:rPr>
        <w:t>按顺序胶装成册，并编制响应文件目录索引，</w:t>
      </w:r>
      <w:r>
        <w:rPr>
          <w:rFonts w:hint="eastAsia" w:ascii="仿宋" w:hAnsi="仿宋" w:eastAsia="仿宋"/>
          <w:color w:val="auto"/>
          <w:sz w:val="24"/>
          <w:highlight w:val="none"/>
        </w:rPr>
        <w:t>且</w:t>
      </w:r>
      <w:r>
        <w:rPr>
          <w:rFonts w:ascii="仿宋" w:hAnsi="仿宋" w:eastAsia="仿宋"/>
          <w:color w:val="auto"/>
          <w:sz w:val="24"/>
          <w:highlight w:val="none"/>
        </w:rPr>
        <w:t>由供应商法定代表人或其授权代表签字。</w:t>
      </w:r>
      <w:r>
        <w:rPr>
          <w:rFonts w:ascii="仿宋" w:hAnsi="仿宋" w:eastAsia="仿宋"/>
          <w:b/>
          <w:color w:val="auto"/>
          <w:sz w:val="24"/>
          <w:highlight w:val="none"/>
          <w:u w:val="single"/>
        </w:rPr>
        <w:t>授权代表为非法定代表人时，须将法定代表人以书面形式出具的“法定代表人授权书”（原件）附在响应文件中。</w:t>
      </w:r>
    </w:p>
    <w:p w14:paraId="1AD9D6F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.3 除供应商对错处做必要修改外，响应文件不得行间插字、涂改或增删。如有修改错漏处，必须由响应文件签署人签字或盖章。</w:t>
      </w:r>
    </w:p>
    <w:p w14:paraId="0AFFCF26">
      <w:pPr>
        <w:pStyle w:val="4"/>
        <w:spacing w:beforeLines="50" w:afterLines="50" w:line="360" w:lineRule="auto"/>
        <w:ind w:firstLine="482" w:firstLineChars="150"/>
        <w:rPr>
          <w:rFonts w:ascii="仿宋" w:hAnsi="仿宋" w:eastAsia="仿宋"/>
          <w:color w:val="auto"/>
          <w:sz w:val="32"/>
          <w:szCs w:val="22"/>
          <w:highlight w:val="none"/>
          <w:u w:val="none"/>
        </w:rPr>
      </w:pPr>
      <w:r>
        <w:rPr>
          <w:rFonts w:ascii="仿宋" w:hAnsi="仿宋" w:eastAsia="仿宋"/>
          <w:color w:val="auto"/>
          <w:sz w:val="32"/>
          <w:szCs w:val="22"/>
          <w:highlight w:val="none"/>
          <w:u w:val="none"/>
        </w:rPr>
        <w:t>四、响应文件的递交</w:t>
      </w:r>
    </w:p>
    <w:p w14:paraId="58495B6D">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1</w:t>
      </w:r>
      <w:r>
        <w:rPr>
          <w:rFonts w:hint="eastAsia" w:ascii="仿宋" w:hAnsi="仿宋" w:eastAsia="仿宋"/>
          <w:bCs w:val="0"/>
          <w:color w:val="auto"/>
          <w:highlight w:val="none"/>
        </w:rPr>
        <w:t>9</w:t>
      </w:r>
      <w:r>
        <w:rPr>
          <w:rFonts w:ascii="仿宋" w:hAnsi="仿宋" w:eastAsia="仿宋"/>
          <w:bCs w:val="0"/>
          <w:color w:val="auto"/>
          <w:highlight w:val="none"/>
        </w:rPr>
        <w:t>、响应文件的密封和标记</w:t>
      </w:r>
    </w:p>
    <w:p w14:paraId="1F834A3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.1供应商应将响应文件正本和所有副本密封，并加盖供应商公章。不论供应商中标与否，响应文件均不退回。</w:t>
      </w:r>
    </w:p>
    <w:p w14:paraId="77182CC5">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.2 密封的响应文件应：</w:t>
      </w:r>
    </w:p>
    <w:p w14:paraId="50B7A230">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 xml:space="preserve">(1) </w:t>
      </w:r>
      <w:r>
        <w:rPr>
          <w:rFonts w:hint="eastAsia" w:ascii="仿宋" w:hAnsi="仿宋" w:eastAsia="仿宋"/>
          <w:color w:val="auto"/>
          <w:sz w:val="24"/>
          <w:highlight w:val="none"/>
        </w:rPr>
        <w:t>在封皮上</w:t>
      </w:r>
      <w:r>
        <w:rPr>
          <w:rFonts w:ascii="仿宋" w:hAnsi="仿宋" w:eastAsia="仿宋"/>
          <w:color w:val="auto"/>
          <w:sz w:val="24"/>
          <w:highlight w:val="none"/>
        </w:rPr>
        <w:t>注明供应商名称，如因标注不清而产生的后果由供应商自负。按</w:t>
      </w:r>
      <w:r>
        <w:rPr>
          <w:rFonts w:hint="eastAsia" w:ascii="仿宋" w:hAnsi="仿宋" w:eastAsia="仿宋"/>
          <w:color w:val="auto"/>
          <w:sz w:val="24"/>
          <w:highlight w:val="none"/>
        </w:rPr>
        <w:t>本项目</w:t>
      </w:r>
      <w:r>
        <w:rPr>
          <w:rFonts w:ascii="仿宋" w:hAnsi="仿宋" w:eastAsia="仿宋"/>
          <w:color w:val="auto"/>
          <w:sz w:val="24"/>
          <w:highlight w:val="none"/>
        </w:rPr>
        <w:t>竞争性</w:t>
      </w:r>
      <w:r>
        <w:rPr>
          <w:rFonts w:hint="eastAsia" w:ascii="仿宋" w:hAnsi="仿宋" w:eastAsia="仿宋"/>
          <w:color w:val="auto"/>
          <w:sz w:val="24"/>
          <w:highlight w:val="none"/>
        </w:rPr>
        <w:t>磋商公告</w:t>
      </w:r>
      <w:r>
        <w:rPr>
          <w:rFonts w:ascii="仿宋" w:hAnsi="仿宋" w:eastAsia="仿宋"/>
          <w:color w:val="auto"/>
          <w:sz w:val="24"/>
          <w:highlight w:val="none"/>
        </w:rPr>
        <w:t>中注明的接收时间和接收地点送达</w:t>
      </w:r>
      <w:r>
        <w:rPr>
          <w:rFonts w:hint="eastAsia" w:ascii="仿宋" w:hAnsi="仿宋" w:eastAsia="仿宋"/>
          <w:color w:val="auto"/>
          <w:sz w:val="24"/>
          <w:highlight w:val="none"/>
        </w:rPr>
        <w:t>采购代理机构</w:t>
      </w:r>
      <w:r>
        <w:rPr>
          <w:rFonts w:ascii="仿宋" w:hAnsi="仿宋" w:eastAsia="仿宋"/>
          <w:color w:val="auto"/>
          <w:sz w:val="24"/>
          <w:highlight w:val="none"/>
        </w:rPr>
        <w:t>。</w:t>
      </w:r>
    </w:p>
    <w:p w14:paraId="06C2D4F2">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(2) 注明投标项目名称、项目编号及</w:t>
      </w:r>
      <w:r>
        <w:rPr>
          <w:rFonts w:hint="eastAsia" w:ascii="仿宋" w:hAnsi="仿宋" w:eastAsia="仿宋"/>
          <w:color w:val="auto"/>
          <w:sz w:val="24"/>
          <w:highlight w:val="none"/>
        </w:rPr>
        <w:t>“</w:t>
      </w:r>
      <w:r>
        <w:rPr>
          <w:rFonts w:ascii="仿宋" w:hAnsi="仿宋" w:eastAsia="仿宋"/>
          <w:color w:val="auto"/>
          <w:sz w:val="24"/>
          <w:highlight w:val="none"/>
        </w:rPr>
        <w:t>开标时启封</w:t>
      </w:r>
      <w:r>
        <w:rPr>
          <w:rFonts w:hint="eastAsia" w:ascii="仿宋" w:hAnsi="仿宋" w:eastAsia="仿宋"/>
          <w:color w:val="auto"/>
          <w:sz w:val="24"/>
          <w:highlight w:val="none"/>
        </w:rPr>
        <w:t>”</w:t>
      </w:r>
      <w:r>
        <w:rPr>
          <w:rFonts w:ascii="仿宋" w:hAnsi="仿宋" w:eastAsia="仿宋"/>
          <w:color w:val="auto"/>
          <w:sz w:val="24"/>
          <w:highlight w:val="none"/>
        </w:rPr>
        <w:t>的字样。</w:t>
      </w:r>
    </w:p>
    <w:p w14:paraId="00169035">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 xml:space="preserve"> 所有</w:t>
      </w:r>
      <w:r>
        <w:rPr>
          <w:rFonts w:ascii="仿宋" w:hAnsi="仿宋" w:eastAsia="仿宋"/>
          <w:color w:val="auto"/>
          <w:sz w:val="24"/>
          <w:highlight w:val="none"/>
        </w:rPr>
        <w:t>响应文件密封口须加盖供应商公章、法定代表人或授权委托人签字或盖章。</w:t>
      </w:r>
    </w:p>
    <w:p w14:paraId="799CE63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.3 如果响应文件被宣布为</w:t>
      </w:r>
      <w:r>
        <w:rPr>
          <w:rFonts w:hint="eastAsia" w:ascii="仿宋" w:hAnsi="仿宋" w:eastAsia="仿宋"/>
          <w:color w:val="auto"/>
          <w:sz w:val="24"/>
          <w:highlight w:val="none"/>
        </w:rPr>
        <w:t>“</w:t>
      </w:r>
      <w:r>
        <w:rPr>
          <w:rFonts w:ascii="仿宋" w:hAnsi="仿宋" w:eastAsia="仿宋"/>
          <w:color w:val="auto"/>
          <w:sz w:val="24"/>
          <w:highlight w:val="none"/>
        </w:rPr>
        <w:t>迟到</w:t>
      </w:r>
      <w:r>
        <w:rPr>
          <w:rFonts w:hint="eastAsia" w:ascii="仿宋" w:hAnsi="仿宋" w:eastAsia="仿宋"/>
          <w:color w:val="auto"/>
          <w:sz w:val="24"/>
          <w:highlight w:val="none"/>
        </w:rPr>
        <w:t>”</w:t>
      </w:r>
      <w:r>
        <w:rPr>
          <w:rFonts w:ascii="仿宋" w:hAnsi="仿宋" w:eastAsia="仿宋"/>
          <w:color w:val="auto"/>
          <w:sz w:val="24"/>
          <w:highlight w:val="none"/>
        </w:rPr>
        <w:t>时，</w:t>
      </w:r>
      <w:r>
        <w:rPr>
          <w:rFonts w:hint="eastAsia" w:ascii="仿宋" w:hAnsi="仿宋" w:eastAsia="仿宋"/>
          <w:color w:val="auto"/>
          <w:sz w:val="24"/>
          <w:highlight w:val="none"/>
        </w:rPr>
        <w:t>采购代理机构将</w:t>
      </w:r>
      <w:r>
        <w:rPr>
          <w:rFonts w:ascii="仿宋" w:hAnsi="仿宋" w:eastAsia="仿宋"/>
          <w:color w:val="auto"/>
          <w:sz w:val="24"/>
          <w:highlight w:val="none"/>
        </w:rPr>
        <w:t>原封退回。</w:t>
      </w:r>
    </w:p>
    <w:p w14:paraId="3904AC5E">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1</w:t>
      </w:r>
      <w:r>
        <w:rPr>
          <w:rFonts w:hint="eastAsia" w:ascii="仿宋" w:hAnsi="仿宋" w:eastAsia="仿宋"/>
          <w:b/>
          <w:bCs/>
          <w:color w:val="auto"/>
          <w:sz w:val="24"/>
          <w:highlight w:val="none"/>
        </w:rPr>
        <w:t>9</w:t>
      </w:r>
      <w:r>
        <w:rPr>
          <w:rFonts w:ascii="仿宋" w:hAnsi="仿宋" w:eastAsia="仿宋"/>
          <w:b/>
          <w:bCs/>
          <w:color w:val="auto"/>
          <w:sz w:val="24"/>
          <w:highlight w:val="none"/>
        </w:rPr>
        <w:t>.4 未按要求密封和加写标记</w:t>
      </w:r>
      <w:r>
        <w:rPr>
          <w:rFonts w:hint="eastAsia" w:ascii="仿宋" w:hAnsi="仿宋" w:eastAsia="仿宋"/>
          <w:b/>
          <w:bCs/>
          <w:color w:val="auto"/>
          <w:sz w:val="24"/>
          <w:highlight w:val="none"/>
        </w:rPr>
        <w:t>的响应文件</w:t>
      </w:r>
      <w:r>
        <w:rPr>
          <w:rFonts w:ascii="仿宋" w:hAnsi="仿宋" w:eastAsia="仿宋"/>
          <w:b/>
          <w:bCs/>
          <w:color w:val="auto"/>
          <w:sz w:val="24"/>
          <w:highlight w:val="none"/>
        </w:rPr>
        <w:t>，</w:t>
      </w:r>
      <w:r>
        <w:rPr>
          <w:rFonts w:hint="eastAsia" w:ascii="仿宋" w:hAnsi="仿宋" w:eastAsia="仿宋"/>
          <w:b/>
          <w:bCs/>
          <w:color w:val="auto"/>
          <w:sz w:val="24"/>
          <w:highlight w:val="none"/>
        </w:rPr>
        <w:t>采购代理机构</w:t>
      </w:r>
      <w:r>
        <w:rPr>
          <w:rFonts w:ascii="仿宋" w:hAnsi="仿宋" w:eastAsia="仿宋"/>
          <w:b/>
          <w:bCs/>
          <w:color w:val="auto"/>
          <w:sz w:val="24"/>
          <w:highlight w:val="none"/>
        </w:rPr>
        <w:t>将予以拒绝</w:t>
      </w:r>
      <w:r>
        <w:rPr>
          <w:rFonts w:hint="eastAsia" w:ascii="仿宋" w:hAnsi="仿宋" w:eastAsia="仿宋"/>
          <w:b/>
          <w:bCs/>
          <w:color w:val="auto"/>
          <w:sz w:val="24"/>
          <w:highlight w:val="none"/>
        </w:rPr>
        <w:t>。采购代理机构</w:t>
      </w:r>
      <w:r>
        <w:rPr>
          <w:rFonts w:ascii="仿宋" w:hAnsi="仿宋" w:eastAsia="仿宋"/>
          <w:b/>
          <w:bCs/>
          <w:color w:val="auto"/>
          <w:sz w:val="24"/>
          <w:highlight w:val="none"/>
        </w:rPr>
        <w:t>对</w:t>
      </w:r>
      <w:r>
        <w:rPr>
          <w:rFonts w:hint="eastAsia" w:ascii="仿宋" w:hAnsi="仿宋" w:eastAsia="仿宋"/>
          <w:b/>
          <w:bCs/>
          <w:color w:val="auto"/>
          <w:sz w:val="24"/>
          <w:highlight w:val="none"/>
        </w:rPr>
        <w:t>响应文件的</w:t>
      </w:r>
      <w:r>
        <w:rPr>
          <w:rFonts w:ascii="仿宋" w:hAnsi="仿宋" w:eastAsia="仿宋"/>
          <w:b/>
          <w:bCs/>
          <w:color w:val="auto"/>
          <w:sz w:val="24"/>
          <w:highlight w:val="none"/>
        </w:rPr>
        <w:t>误投或过早启封概不负责</w:t>
      </w:r>
      <w:r>
        <w:rPr>
          <w:rFonts w:hint="eastAsia" w:ascii="仿宋" w:hAnsi="仿宋" w:eastAsia="仿宋"/>
          <w:b/>
          <w:bCs/>
          <w:color w:val="auto"/>
          <w:sz w:val="24"/>
          <w:highlight w:val="none"/>
        </w:rPr>
        <w:t>，</w:t>
      </w:r>
      <w:r>
        <w:rPr>
          <w:rFonts w:ascii="仿宋" w:hAnsi="仿宋" w:eastAsia="仿宋"/>
          <w:b/>
          <w:bCs/>
          <w:color w:val="auto"/>
          <w:sz w:val="24"/>
          <w:highlight w:val="none"/>
        </w:rPr>
        <w:t>对由此造成提前开封的响应文件，</w:t>
      </w:r>
      <w:r>
        <w:rPr>
          <w:rFonts w:hint="eastAsia" w:ascii="仿宋" w:hAnsi="仿宋" w:eastAsia="仿宋"/>
          <w:b/>
          <w:bCs/>
          <w:color w:val="auto"/>
          <w:sz w:val="24"/>
          <w:highlight w:val="none"/>
        </w:rPr>
        <w:t>采购代理机构有权拒绝</w:t>
      </w:r>
      <w:r>
        <w:rPr>
          <w:rFonts w:ascii="仿宋" w:hAnsi="仿宋" w:eastAsia="仿宋"/>
          <w:b/>
          <w:bCs/>
          <w:color w:val="auto"/>
          <w:sz w:val="24"/>
          <w:highlight w:val="none"/>
        </w:rPr>
        <w:t>。</w:t>
      </w:r>
    </w:p>
    <w:p w14:paraId="7875B586">
      <w:pPr>
        <w:pStyle w:val="5"/>
        <w:spacing w:before="0" w:after="0" w:line="360" w:lineRule="auto"/>
        <w:ind w:firstLine="422" w:firstLineChars="150"/>
        <w:rPr>
          <w:rFonts w:ascii="仿宋" w:hAnsi="仿宋" w:eastAsia="仿宋"/>
          <w:bCs w:val="0"/>
          <w:color w:val="auto"/>
          <w:highlight w:val="none"/>
        </w:rPr>
      </w:pPr>
      <w:r>
        <w:rPr>
          <w:rFonts w:hint="eastAsia" w:ascii="仿宋" w:hAnsi="仿宋" w:eastAsia="仿宋"/>
          <w:bCs w:val="0"/>
          <w:color w:val="auto"/>
          <w:highlight w:val="none"/>
        </w:rPr>
        <w:t>20</w:t>
      </w:r>
      <w:r>
        <w:rPr>
          <w:rFonts w:ascii="仿宋" w:hAnsi="仿宋" w:eastAsia="仿宋"/>
          <w:bCs w:val="0"/>
          <w:color w:val="auto"/>
          <w:highlight w:val="none"/>
        </w:rPr>
        <w:t>、</w:t>
      </w:r>
      <w:r>
        <w:rPr>
          <w:rFonts w:hint="eastAsia" w:ascii="仿宋" w:hAnsi="仿宋" w:eastAsia="仿宋"/>
          <w:bCs w:val="0"/>
          <w:color w:val="auto"/>
          <w:highlight w:val="none"/>
        </w:rPr>
        <w:t>响应文件递交</w:t>
      </w:r>
      <w:r>
        <w:rPr>
          <w:rFonts w:ascii="仿宋" w:hAnsi="仿宋" w:eastAsia="仿宋"/>
          <w:bCs w:val="0"/>
          <w:color w:val="auto"/>
          <w:highlight w:val="none"/>
        </w:rPr>
        <w:t>截止</w:t>
      </w:r>
      <w:r>
        <w:rPr>
          <w:rFonts w:hint="eastAsia" w:ascii="仿宋" w:hAnsi="仿宋" w:eastAsia="仿宋"/>
          <w:bCs w:val="0"/>
          <w:color w:val="auto"/>
          <w:highlight w:val="none"/>
        </w:rPr>
        <w:t>时间</w:t>
      </w:r>
    </w:p>
    <w:p w14:paraId="77E6AD31">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20.1</w:t>
      </w:r>
      <w:r>
        <w:rPr>
          <w:rFonts w:ascii="仿宋" w:hAnsi="仿宋" w:eastAsia="仿宋"/>
          <w:color w:val="auto"/>
          <w:sz w:val="24"/>
          <w:highlight w:val="none"/>
        </w:rPr>
        <w:t>供应商</w:t>
      </w:r>
      <w:r>
        <w:rPr>
          <w:rFonts w:hint="eastAsia" w:ascii="仿宋" w:hAnsi="仿宋" w:eastAsia="仿宋"/>
          <w:color w:val="auto"/>
          <w:sz w:val="24"/>
          <w:highlight w:val="none"/>
        </w:rPr>
        <w:t>应当在</w:t>
      </w:r>
      <w:r>
        <w:rPr>
          <w:rFonts w:ascii="仿宋" w:hAnsi="仿宋" w:eastAsia="仿宋"/>
          <w:color w:val="auto"/>
          <w:sz w:val="24"/>
          <w:highlight w:val="none"/>
        </w:rPr>
        <w:t>竞争性磋商</w:t>
      </w:r>
      <w:r>
        <w:rPr>
          <w:rFonts w:hint="eastAsia" w:ascii="仿宋" w:hAnsi="仿宋" w:eastAsia="仿宋"/>
          <w:color w:val="auto"/>
          <w:sz w:val="24"/>
          <w:highlight w:val="none"/>
        </w:rPr>
        <w:t>文件要求提交响应文件的截止时间前，将响应文件送达规定地点。</w:t>
      </w:r>
    </w:p>
    <w:p w14:paraId="26660D87">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20</w:t>
      </w:r>
      <w:r>
        <w:rPr>
          <w:rFonts w:ascii="仿宋" w:hAnsi="仿宋" w:eastAsia="仿宋"/>
          <w:color w:val="auto"/>
          <w:sz w:val="24"/>
          <w:highlight w:val="none"/>
        </w:rPr>
        <w:t xml:space="preserve">.2 </w:t>
      </w:r>
      <w:r>
        <w:rPr>
          <w:rFonts w:hint="eastAsia" w:ascii="仿宋" w:hAnsi="仿宋" w:eastAsia="仿宋"/>
          <w:color w:val="auto"/>
          <w:sz w:val="24"/>
          <w:highlight w:val="none"/>
        </w:rPr>
        <w:t>采购人或采购代理机构</w:t>
      </w:r>
      <w:r>
        <w:rPr>
          <w:rFonts w:ascii="仿宋" w:hAnsi="仿宋" w:eastAsia="仿宋"/>
          <w:color w:val="auto"/>
          <w:sz w:val="24"/>
          <w:highlight w:val="none"/>
        </w:rPr>
        <w:t>可以按照规定，通过修改竞争性磋商文件有权酌情延长</w:t>
      </w:r>
      <w:r>
        <w:rPr>
          <w:rFonts w:hint="eastAsia" w:ascii="仿宋" w:hAnsi="仿宋" w:eastAsia="仿宋"/>
          <w:color w:val="auto"/>
          <w:sz w:val="24"/>
          <w:highlight w:val="none"/>
        </w:rPr>
        <w:t>响应文件递交</w:t>
      </w:r>
      <w:r>
        <w:rPr>
          <w:rFonts w:ascii="仿宋" w:hAnsi="仿宋" w:eastAsia="仿宋"/>
          <w:color w:val="auto"/>
          <w:sz w:val="24"/>
          <w:highlight w:val="none"/>
        </w:rPr>
        <w:t>截止</w:t>
      </w:r>
      <w:r>
        <w:rPr>
          <w:rFonts w:hint="eastAsia" w:ascii="仿宋" w:hAnsi="仿宋" w:eastAsia="仿宋"/>
          <w:color w:val="auto"/>
          <w:sz w:val="24"/>
          <w:highlight w:val="none"/>
        </w:rPr>
        <w:t>时间</w:t>
      </w:r>
      <w:r>
        <w:rPr>
          <w:rFonts w:ascii="仿宋" w:hAnsi="仿宋" w:eastAsia="仿宋"/>
          <w:color w:val="auto"/>
          <w:sz w:val="24"/>
          <w:highlight w:val="none"/>
        </w:rPr>
        <w:t>，</w:t>
      </w:r>
      <w:r>
        <w:rPr>
          <w:rFonts w:hint="eastAsia" w:ascii="仿宋" w:hAnsi="仿宋" w:eastAsia="仿宋"/>
          <w:color w:val="auto"/>
          <w:sz w:val="24"/>
          <w:highlight w:val="none"/>
        </w:rPr>
        <w:t>以书面形式通知所有购买竞争性磋商文件的供应商。</w:t>
      </w:r>
      <w:r>
        <w:rPr>
          <w:rFonts w:ascii="仿宋" w:hAnsi="仿宋" w:eastAsia="仿宋"/>
          <w:color w:val="auto"/>
          <w:sz w:val="24"/>
          <w:highlight w:val="none"/>
        </w:rPr>
        <w:t>在此情况下，供应商的所有权利和义务以及供应商受制的截止</w:t>
      </w:r>
      <w:r>
        <w:rPr>
          <w:rFonts w:hint="eastAsia" w:ascii="仿宋" w:hAnsi="仿宋" w:eastAsia="仿宋"/>
          <w:color w:val="auto"/>
          <w:sz w:val="24"/>
          <w:highlight w:val="none"/>
        </w:rPr>
        <w:t>时间</w:t>
      </w:r>
      <w:r>
        <w:rPr>
          <w:rFonts w:ascii="仿宋" w:hAnsi="仿宋" w:eastAsia="仿宋"/>
          <w:color w:val="auto"/>
          <w:sz w:val="24"/>
          <w:highlight w:val="none"/>
        </w:rPr>
        <w:t>均应以延长后新的截止</w:t>
      </w:r>
      <w:r>
        <w:rPr>
          <w:rFonts w:hint="eastAsia" w:ascii="仿宋" w:hAnsi="仿宋" w:eastAsia="仿宋"/>
          <w:color w:val="auto"/>
          <w:sz w:val="24"/>
          <w:highlight w:val="none"/>
        </w:rPr>
        <w:t>时间</w:t>
      </w:r>
      <w:r>
        <w:rPr>
          <w:rFonts w:ascii="仿宋" w:hAnsi="仿宋" w:eastAsia="仿宋"/>
          <w:color w:val="auto"/>
          <w:sz w:val="24"/>
          <w:highlight w:val="none"/>
        </w:rPr>
        <w:t>为准。</w:t>
      </w:r>
    </w:p>
    <w:p w14:paraId="444A9B0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20.3迟于响应文件递交截止时间的，采购代理机构将有权拒绝接收其响应文件。公证人员或供应商代表当众检验响应文件的密封情况，确认无误后方可进行拆封。</w:t>
      </w:r>
    </w:p>
    <w:p w14:paraId="683F4C29">
      <w:pPr>
        <w:pStyle w:val="5"/>
        <w:spacing w:before="0" w:after="0" w:line="360" w:lineRule="auto"/>
        <w:ind w:firstLine="422" w:firstLineChars="150"/>
        <w:rPr>
          <w:rFonts w:ascii="仿宋" w:hAnsi="仿宋" w:eastAsia="仿宋"/>
          <w:bCs w:val="0"/>
          <w:color w:val="auto"/>
          <w:highlight w:val="none"/>
        </w:rPr>
      </w:pPr>
      <w:r>
        <w:rPr>
          <w:rFonts w:hint="eastAsia" w:ascii="仿宋" w:hAnsi="仿宋" w:eastAsia="仿宋"/>
          <w:bCs w:val="0"/>
          <w:color w:val="auto"/>
          <w:highlight w:val="none"/>
        </w:rPr>
        <w:t>21</w:t>
      </w:r>
      <w:r>
        <w:rPr>
          <w:rFonts w:ascii="仿宋" w:hAnsi="仿宋" w:eastAsia="仿宋"/>
          <w:bCs w:val="0"/>
          <w:color w:val="auto"/>
          <w:highlight w:val="none"/>
        </w:rPr>
        <w:t>、迟交的响应文件</w:t>
      </w:r>
    </w:p>
    <w:p w14:paraId="3813C0B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 xml:space="preserve">.1 </w:t>
      </w:r>
      <w:r>
        <w:rPr>
          <w:rFonts w:hint="eastAsia" w:ascii="仿宋" w:hAnsi="仿宋" w:eastAsia="仿宋"/>
          <w:color w:val="auto"/>
          <w:sz w:val="24"/>
          <w:highlight w:val="none"/>
        </w:rPr>
        <w:t>采购代理机构</w:t>
      </w:r>
      <w:r>
        <w:rPr>
          <w:rFonts w:ascii="仿宋" w:hAnsi="仿宋" w:eastAsia="仿宋"/>
          <w:color w:val="auto"/>
          <w:sz w:val="24"/>
          <w:highlight w:val="none"/>
        </w:rPr>
        <w:t>将拒绝并原封退回在</w:t>
      </w:r>
      <w:r>
        <w:rPr>
          <w:rFonts w:hint="eastAsia" w:ascii="仿宋" w:hAnsi="仿宋" w:eastAsia="仿宋"/>
          <w:color w:val="auto"/>
          <w:sz w:val="24"/>
          <w:highlight w:val="none"/>
        </w:rPr>
        <w:t>竞争性磋商公告</w:t>
      </w:r>
      <w:r>
        <w:rPr>
          <w:rFonts w:ascii="仿宋" w:hAnsi="仿宋" w:eastAsia="仿宋"/>
          <w:color w:val="auto"/>
          <w:sz w:val="24"/>
          <w:highlight w:val="none"/>
        </w:rPr>
        <w:t>规定的</w:t>
      </w:r>
      <w:r>
        <w:rPr>
          <w:rFonts w:hint="eastAsia" w:ascii="仿宋" w:hAnsi="仿宋" w:eastAsia="仿宋"/>
          <w:color w:val="auto"/>
          <w:sz w:val="24"/>
          <w:highlight w:val="none"/>
        </w:rPr>
        <w:t>响应文件递交</w:t>
      </w:r>
      <w:r>
        <w:rPr>
          <w:rFonts w:ascii="仿宋" w:hAnsi="仿宋" w:eastAsia="仿宋"/>
          <w:color w:val="auto"/>
          <w:sz w:val="24"/>
          <w:highlight w:val="none"/>
        </w:rPr>
        <w:t>响应文件递交截止时间后收到的任何响应文件。</w:t>
      </w:r>
    </w:p>
    <w:p w14:paraId="6F5DE41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21.2</w:t>
      </w:r>
      <w:r>
        <w:rPr>
          <w:rFonts w:ascii="仿宋" w:hAnsi="仿宋" w:eastAsia="仿宋"/>
          <w:color w:val="auto"/>
          <w:sz w:val="24"/>
          <w:highlight w:val="none"/>
        </w:rPr>
        <w:t>采购代理机构对响应文件在送达过程中的遗失或损坏不负责。</w:t>
      </w:r>
    </w:p>
    <w:p w14:paraId="5747B303">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2</w:t>
      </w:r>
      <w:r>
        <w:rPr>
          <w:rFonts w:hint="eastAsia" w:ascii="仿宋" w:hAnsi="仿宋" w:eastAsia="仿宋"/>
          <w:bCs w:val="0"/>
          <w:color w:val="auto"/>
          <w:highlight w:val="none"/>
        </w:rPr>
        <w:t>2</w:t>
      </w:r>
      <w:r>
        <w:rPr>
          <w:rFonts w:ascii="仿宋" w:hAnsi="仿宋" w:eastAsia="仿宋"/>
          <w:bCs w:val="0"/>
          <w:color w:val="auto"/>
          <w:highlight w:val="none"/>
        </w:rPr>
        <w:t>、响应文件的修改和撤回</w:t>
      </w:r>
    </w:p>
    <w:p w14:paraId="4922276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.1 供应商在递交响应文件后，可以修改或撤回其响应文件，但这种修改和撤回，必须在规定的</w:t>
      </w:r>
      <w:r>
        <w:rPr>
          <w:rFonts w:hint="eastAsia" w:ascii="仿宋" w:hAnsi="仿宋" w:eastAsia="仿宋"/>
          <w:color w:val="auto"/>
          <w:sz w:val="24"/>
          <w:highlight w:val="none"/>
        </w:rPr>
        <w:t>响应文件递交</w:t>
      </w:r>
      <w:r>
        <w:rPr>
          <w:rFonts w:ascii="仿宋" w:hAnsi="仿宋" w:eastAsia="仿宋"/>
          <w:color w:val="auto"/>
          <w:sz w:val="24"/>
          <w:highlight w:val="none"/>
        </w:rPr>
        <w:t>响应文件递交截止时间前，以书面形式</w:t>
      </w:r>
      <w:r>
        <w:rPr>
          <w:rFonts w:hint="eastAsia" w:ascii="仿宋" w:hAnsi="仿宋" w:eastAsia="仿宋"/>
          <w:color w:val="auto"/>
          <w:sz w:val="24"/>
          <w:highlight w:val="none"/>
        </w:rPr>
        <w:t>并加盖供应商公章</w:t>
      </w:r>
      <w:r>
        <w:rPr>
          <w:rFonts w:ascii="仿宋" w:hAnsi="仿宋" w:eastAsia="仿宋"/>
          <w:color w:val="auto"/>
          <w:sz w:val="24"/>
          <w:highlight w:val="none"/>
        </w:rPr>
        <w:t>通知</w:t>
      </w:r>
      <w:r>
        <w:rPr>
          <w:rFonts w:hint="eastAsia" w:ascii="仿宋" w:hAnsi="仿宋" w:eastAsia="仿宋"/>
          <w:color w:val="auto"/>
          <w:sz w:val="24"/>
          <w:highlight w:val="none"/>
        </w:rPr>
        <w:t>采购代理机构</w:t>
      </w:r>
      <w:r>
        <w:rPr>
          <w:rFonts w:ascii="仿宋" w:hAnsi="仿宋" w:eastAsia="仿宋"/>
          <w:color w:val="auto"/>
          <w:sz w:val="24"/>
          <w:highlight w:val="none"/>
        </w:rPr>
        <w:t>，修改或撤回其响应文件。</w:t>
      </w:r>
    </w:p>
    <w:p w14:paraId="05E4242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.2 供应商的修改或撤回文件应按规定进行编制、密封、标记和发送，并应在封套上加注</w:t>
      </w:r>
      <w:r>
        <w:rPr>
          <w:rFonts w:hint="eastAsia" w:ascii="仿宋" w:hAnsi="仿宋" w:eastAsia="仿宋"/>
          <w:color w:val="auto"/>
          <w:sz w:val="24"/>
          <w:highlight w:val="none"/>
        </w:rPr>
        <w:t>“</w:t>
      </w:r>
      <w:r>
        <w:rPr>
          <w:rFonts w:ascii="仿宋" w:hAnsi="仿宋" w:eastAsia="仿宋"/>
          <w:color w:val="auto"/>
          <w:sz w:val="24"/>
          <w:highlight w:val="none"/>
        </w:rPr>
        <w:t>修改</w:t>
      </w:r>
      <w:r>
        <w:rPr>
          <w:rFonts w:hint="eastAsia" w:ascii="仿宋" w:hAnsi="仿宋" w:eastAsia="仿宋"/>
          <w:color w:val="auto"/>
          <w:sz w:val="24"/>
          <w:highlight w:val="none"/>
        </w:rPr>
        <w:t>”</w:t>
      </w:r>
      <w:r>
        <w:rPr>
          <w:rFonts w:ascii="仿宋" w:hAnsi="仿宋" w:eastAsia="仿宋"/>
          <w:color w:val="auto"/>
          <w:sz w:val="24"/>
          <w:highlight w:val="none"/>
        </w:rPr>
        <w:t>和</w:t>
      </w:r>
      <w:r>
        <w:rPr>
          <w:rFonts w:hint="eastAsia" w:ascii="仿宋" w:hAnsi="仿宋" w:eastAsia="仿宋"/>
          <w:color w:val="auto"/>
          <w:sz w:val="24"/>
          <w:highlight w:val="none"/>
        </w:rPr>
        <w:t>“</w:t>
      </w:r>
      <w:r>
        <w:rPr>
          <w:rFonts w:ascii="仿宋" w:hAnsi="仿宋" w:eastAsia="仿宋"/>
          <w:color w:val="auto"/>
          <w:sz w:val="24"/>
          <w:highlight w:val="none"/>
        </w:rPr>
        <w:t>撤回</w:t>
      </w:r>
      <w:r>
        <w:rPr>
          <w:rFonts w:hint="eastAsia" w:ascii="仿宋" w:hAnsi="仿宋" w:eastAsia="仿宋"/>
          <w:color w:val="auto"/>
          <w:sz w:val="24"/>
          <w:highlight w:val="none"/>
        </w:rPr>
        <w:t>”</w:t>
      </w:r>
      <w:r>
        <w:rPr>
          <w:rFonts w:ascii="仿宋" w:hAnsi="仿宋" w:eastAsia="仿宋"/>
          <w:color w:val="auto"/>
          <w:sz w:val="24"/>
          <w:highlight w:val="none"/>
        </w:rPr>
        <w:t>字样。修改文件必须在</w:t>
      </w:r>
      <w:r>
        <w:rPr>
          <w:rFonts w:hint="eastAsia" w:ascii="仿宋" w:hAnsi="仿宋" w:eastAsia="仿宋"/>
          <w:color w:val="auto"/>
          <w:sz w:val="24"/>
          <w:highlight w:val="none"/>
        </w:rPr>
        <w:t>响应文件递交</w:t>
      </w:r>
      <w:r>
        <w:rPr>
          <w:rFonts w:ascii="仿宋" w:hAnsi="仿宋" w:eastAsia="仿宋"/>
          <w:color w:val="auto"/>
          <w:sz w:val="24"/>
          <w:highlight w:val="none"/>
        </w:rPr>
        <w:t>响应文件递交截止时间前送达</w:t>
      </w:r>
      <w:r>
        <w:rPr>
          <w:rFonts w:hint="eastAsia" w:ascii="仿宋" w:hAnsi="仿宋" w:eastAsia="仿宋"/>
          <w:color w:val="auto"/>
          <w:sz w:val="24"/>
          <w:highlight w:val="none"/>
        </w:rPr>
        <w:t>采购代理机构</w:t>
      </w:r>
      <w:r>
        <w:rPr>
          <w:rFonts w:ascii="仿宋" w:hAnsi="仿宋" w:eastAsia="仿宋"/>
          <w:color w:val="auto"/>
          <w:sz w:val="24"/>
          <w:highlight w:val="none"/>
        </w:rPr>
        <w:t>。</w:t>
      </w:r>
    </w:p>
    <w:p w14:paraId="7F9F75A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.3 在响应文件递交截止时间之后，供应商不得对其响应文件作任何修改。</w:t>
      </w:r>
    </w:p>
    <w:p w14:paraId="0F530B1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.4 在响应文件递交截止时间至竞争性磋商文件中规定的</w:t>
      </w:r>
      <w:r>
        <w:rPr>
          <w:rFonts w:hint="eastAsia" w:ascii="仿宋" w:hAnsi="仿宋" w:eastAsia="仿宋"/>
          <w:color w:val="auto"/>
          <w:sz w:val="24"/>
          <w:highlight w:val="none"/>
        </w:rPr>
        <w:t>响应文件</w:t>
      </w:r>
      <w:r>
        <w:rPr>
          <w:rFonts w:ascii="仿宋" w:hAnsi="仿宋" w:eastAsia="仿宋"/>
          <w:color w:val="auto"/>
          <w:sz w:val="24"/>
          <w:highlight w:val="none"/>
        </w:rPr>
        <w:t>有效期满之间的这段时间内，供应商不得撤回其投标。</w:t>
      </w:r>
    </w:p>
    <w:p w14:paraId="65BF201E">
      <w:pPr>
        <w:pStyle w:val="4"/>
        <w:spacing w:beforeLines="50" w:afterLines="50" w:line="360" w:lineRule="auto"/>
        <w:ind w:firstLine="482" w:firstLineChars="150"/>
        <w:rPr>
          <w:rFonts w:ascii="仿宋" w:hAnsi="仿宋" w:eastAsia="仿宋"/>
          <w:color w:val="auto"/>
          <w:sz w:val="32"/>
          <w:szCs w:val="22"/>
          <w:highlight w:val="none"/>
          <w:u w:val="none"/>
        </w:rPr>
      </w:pPr>
      <w:r>
        <w:rPr>
          <w:rFonts w:ascii="仿宋" w:hAnsi="仿宋" w:eastAsia="仿宋"/>
          <w:color w:val="auto"/>
          <w:sz w:val="32"/>
          <w:szCs w:val="22"/>
          <w:highlight w:val="none"/>
          <w:u w:val="none"/>
        </w:rPr>
        <w:t>五、</w:t>
      </w:r>
      <w:r>
        <w:rPr>
          <w:rFonts w:hint="eastAsia" w:ascii="仿宋" w:hAnsi="仿宋" w:eastAsia="仿宋"/>
          <w:color w:val="auto"/>
          <w:sz w:val="32"/>
          <w:szCs w:val="22"/>
          <w:highlight w:val="none"/>
          <w:u w:val="none"/>
        </w:rPr>
        <w:t>磋商</w:t>
      </w:r>
      <w:r>
        <w:rPr>
          <w:rFonts w:ascii="仿宋" w:hAnsi="仿宋" w:eastAsia="仿宋"/>
          <w:color w:val="auto"/>
          <w:sz w:val="32"/>
          <w:szCs w:val="22"/>
          <w:highlight w:val="none"/>
          <w:u w:val="none"/>
        </w:rPr>
        <w:t>与评</w:t>
      </w:r>
      <w:r>
        <w:rPr>
          <w:rFonts w:hint="eastAsia" w:ascii="仿宋" w:hAnsi="仿宋" w:eastAsia="仿宋"/>
          <w:color w:val="auto"/>
          <w:sz w:val="32"/>
          <w:szCs w:val="22"/>
          <w:highlight w:val="none"/>
          <w:u w:val="none"/>
        </w:rPr>
        <w:t>审</w:t>
      </w:r>
    </w:p>
    <w:p w14:paraId="1B4BB543">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2</w:t>
      </w:r>
      <w:r>
        <w:rPr>
          <w:rFonts w:hint="eastAsia" w:ascii="仿宋" w:hAnsi="仿宋" w:eastAsia="仿宋"/>
          <w:bCs w:val="0"/>
          <w:color w:val="auto"/>
          <w:highlight w:val="none"/>
        </w:rPr>
        <w:t>3</w:t>
      </w:r>
      <w:r>
        <w:rPr>
          <w:rFonts w:ascii="仿宋" w:hAnsi="仿宋" w:eastAsia="仿宋"/>
          <w:bCs w:val="0"/>
          <w:color w:val="auto"/>
          <w:highlight w:val="none"/>
        </w:rPr>
        <w:t>、</w:t>
      </w:r>
      <w:r>
        <w:rPr>
          <w:rFonts w:hint="eastAsia" w:ascii="仿宋" w:hAnsi="仿宋" w:eastAsia="仿宋"/>
          <w:bCs w:val="0"/>
          <w:color w:val="auto"/>
          <w:highlight w:val="none"/>
        </w:rPr>
        <w:t>磋商</w:t>
      </w:r>
    </w:p>
    <w:p w14:paraId="5DA2CF2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采购代理机构按本须知规定的时间、地点主持竞争性磋商活动。磋商活动由采购代理机构、采购人、供应商代表及有关方面代表参加。</w:t>
      </w:r>
    </w:p>
    <w:p w14:paraId="3D85EFA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23.2参加磋商的供应商法定代表人或授权委托代理人应携带本人身份证明签名报到，以证明其出席竞争性磋商活动。供应商法定代表人或授权委托代理人未准时参加磋商活动的视为自动放弃竞争性磋商，其响应文件将不予评审、不予退还。</w:t>
      </w:r>
    </w:p>
    <w:p w14:paraId="6F60F99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23.3现场由公证人员或供应商代表查验响应文件密封及签章情况。</w:t>
      </w:r>
    </w:p>
    <w:p w14:paraId="5752A3C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23.4磋商小组对供应商递交的响应文件进行审查，可根据评审情况分别对审查通过的供应商进行磋商。</w:t>
      </w:r>
    </w:p>
    <w:p w14:paraId="699E8F4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23.5视评审情况需要，供应商代表进行澄清、回复磋商小组的提问；</w:t>
      </w:r>
    </w:p>
    <w:p w14:paraId="086731E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23.6视评审情况需要，进行包括但不限于价格、技术以及售后服务等商务条款的商讨；</w:t>
      </w:r>
    </w:p>
    <w:p w14:paraId="7125FFC2">
      <w:pPr>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23.7供应商最终填写总报价（</w:t>
      </w:r>
      <w:r>
        <w:rPr>
          <w:rFonts w:hint="eastAsia" w:ascii="仿宋" w:hAnsi="仿宋" w:eastAsia="仿宋" w:cs="仿宋"/>
          <w:b/>
          <w:color w:val="auto"/>
          <w:sz w:val="24"/>
          <w:highlight w:val="none"/>
        </w:rPr>
        <w:t>至少二次，响应文件中的报价为首次报价，合同单价按最终总报价同比例浮动</w:t>
      </w:r>
      <w:r>
        <w:rPr>
          <w:rFonts w:hint="eastAsia" w:ascii="仿宋" w:hAnsi="仿宋" w:eastAsia="仿宋"/>
          <w:b/>
          <w:bCs/>
          <w:color w:val="auto"/>
          <w:sz w:val="24"/>
          <w:highlight w:val="none"/>
        </w:rPr>
        <w:t>）、填写承诺函；</w:t>
      </w:r>
    </w:p>
    <w:p w14:paraId="0623E6B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23.8报价超预算者不成交；</w:t>
      </w:r>
    </w:p>
    <w:p w14:paraId="57A4F53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23.9磋商小组经过与供应商的磋商，根据供应商的承诺、响应程度和供应商的最终报价进行综合评审。</w:t>
      </w:r>
    </w:p>
    <w:p w14:paraId="6F6394A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23.10如磋商过程中出现本竞争性磋商文件未尽事宜，由磋商小组根据有关法律、法规以及项目实际情况讨论决定。</w:t>
      </w:r>
    </w:p>
    <w:p w14:paraId="4AABFD46">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2</w:t>
      </w:r>
      <w:r>
        <w:rPr>
          <w:rFonts w:hint="eastAsia" w:ascii="仿宋" w:hAnsi="仿宋" w:eastAsia="仿宋"/>
          <w:bCs w:val="0"/>
          <w:color w:val="auto"/>
          <w:highlight w:val="none"/>
        </w:rPr>
        <w:t>4</w:t>
      </w:r>
      <w:r>
        <w:rPr>
          <w:rFonts w:ascii="仿宋" w:hAnsi="仿宋" w:eastAsia="仿宋"/>
          <w:bCs w:val="0"/>
          <w:color w:val="auto"/>
          <w:highlight w:val="none"/>
        </w:rPr>
        <w:t>、</w:t>
      </w:r>
      <w:r>
        <w:rPr>
          <w:rFonts w:hint="eastAsia" w:ascii="仿宋" w:hAnsi="仿宋" w:eastAsia="仿宋"/>
          <w:bCs w:val="0"/>
          <w:color w:val="auto"/>
          <w:highlight w:val="none"/>
        </w:rPr>
        <w:t>磋商小组</w:t>
      </w:r>
    </w:p>
    <w:p w14:paraId="2114B54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 xml:space="preserve">.1 </w:t>
      </w:r>
      <w:r>
        <w:rPr>
          <w:rFonts w:hint="eastAsia" w:ascii="仿宋" w:hAnsi="仿宋" w:eastAsia="仿宋"/>
          <w:color w:val="auto"/>
          <w:sz w:val="24"/>
          <w:highlight w:val="none"/>
        </w:rPr>
        <w:t>采购代理机构</w:t>
      </w:r>
      <w:r>
        <w:rPr>
          <w:rFonts w:ascii="仿宋" w:hAnsi="仿宋" w:eastAsia="仿宋"/>
          <w:color w:val="auto"/>
          <w:sz w:val="24"/>
          <w:highlight w:val="none"/>
        </w:rPr>
        <w:t>将根据项目特点</w:t>
      </w:r>
      <w:r>
        <w:rPr>
          <w:rFonts w:hint="eastAsia" w:ascii="仿宋" w:hAnsi="仿宋" w:eastAsia="仿宋"/>
          <w:color w:val="auto"/>
          <w:sz w:val="24"/>
          <w:highlight w:val="none"/>
        </w:rPr>
        <w:t>和有关规定</w:t>
      </w:r>
      <w:r>
        <w:rPr>
          <w:rFonts w:ascii="仿宋" w:hAnsi="仿宋" w:eastAsia="仿宋"/>
          <w:color w:val="auto"/>
          <w:sz w:val="24"/>
          <w:highlight w:val="none"/>
        </w:rPr>
        <w:t>组建磋商小组，由</w:t>
      </w:r>
      <w:r>
        <w:rPr>
          <w:rFonts w:hint="eastAsia" w:ascii="仿宋" w:hAnsi="仿宋" w:eastAsia="仿宋"/>
          <w:color w:val="auto"/>
          <w:sz w:val="24"/>
          <w:highlight w:val="none"/>
        </w:rPr>
        <w:t>采购人代表和评审专家组成</w:t>
      </w:r>
      <w:r>
        <w:rPr>
          <w:rFonts w:ascii="仿宋" w:hAnsi="仿宋" w:eastAsia="仿宋"/>
          <w:color w:val="auto"/>
          <w:sz w:val="24"/>
          <w:highlight w:val="none"/>
        </w:rPr>
        <w:t>，并独立开展评审工作。磋商小组对响应文件进行审查、</w:t>
      </w:r>
      <w:r>
        <w:rPr>
          <w:rFonts w:hint="eastAsia" w:ascii="仿宋" w:hAnsi="仿宋" w:eastAsia="仿宋"/>
          <w:color w:val="auto"/>
          <w:sz w:val="24"/>
          <w:highlight w:val="none"/>
        </w:rPr>
        <w:t>澄清</w:t>
      </w:r>
      <w:r>
        <w:rPr>
          <w:rFonts w:ascii="仿宋" w:hAnsi="仿宋" w:eastAsia="仿宋"/>
          <w:color w:val="auto"/>
          <w:sz w:val="24"/>
          <w:highlight w:val="none"/>
        </w:rPr>
        <w:t>、评估、比较。</w:t>
      </w:r>
    </w:p>
    <w:p w14:paraId="3ABDE76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.2</w:t>
      </w:r>
      <w:r>
        <w:rPr>
          <w:rFonts w:hint="eastAsia" w:ascii="仿宋" w:hAnsi="仿宋" w:eastAsia="仿宋"/>
          <w:color w:val="auto"/>
          <w:sz w:val="24"/>
          <w:highlight w:val="none"/>
        </w:rPr>
        <w:t>采购人可以推荐代表参加磋商小组。但人数不得超过磋商小组成员总人数的三分之一。参加评审的采购人代表，必须向采购代理机构提交采购人代表身份授权函或证明。</w:t>
      </w:r>
    </w:p>
    <w:p w14:paraId="5B87F01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.3磋商小组应以科学、公正的态度参加评审工作并推荐成交候选人。评审专家在评审过程中不受任何干扰，独立、负责地提出评审意见，并对自己的评审意见承担责任。</w:t>
      </w:r>
    </w:p>
    <w:p w14:paraId="11F42B6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.4磋商小组将对供应商的商业、技术秘密予以保密。</w:t>
      </w:r>
    </w:p>
    <w:p w14:paraId="3BC51FB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24.5未经磋商小组批准，其他任何人员禁止进入评审现场。</w:t>
      </w:r>
    </w:p>
    <w:p w14:paraId="348BDD8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 磋商小组成员负责具体的评审事务，并独立履行以下职责：</w:t>
      </w:r>
    </w:p>
    <w:p w14:paraId="4F89158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24.6.1 审查、评价响应文件是否符合竞争性磋商文件的要求，并作出评价；</w:t>
      </w:r>
    </w:p>
    <w:p w14:paraId="4AAD9B2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24.6.2 要求供应商对响应文件有关事项作出澄清或者说明；</w:t>
      </w:r>
    </w:p>
    <w:p w14:paraId="1AFBEB8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24.6.3 对响应文件进行比较和评价；</w:t>
      </w:r>
    </w:p>
    <w:p w14:paraId="176884F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24.6.4 确定成交候选人名单，以及根据采购人委托直接确定成交供应商；</w:t>
      </w:r>
    </w:p>
    <w:p w14:paraId="0DFCA94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24.6.5 向采购人、采购代理机构或者有关部门报告评标中发现的违法行为。</w:t>
      </w:r>
    </w:p>
    <w:p w14:paraId="1BC7235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 磋商小组成员应当履行下列义务：</w:t>
      </w:r>
    </w:p>
    <w:p w14:paraId="39EE8D3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24.7.1 遵纪守法，客观、公正、廉洁地履行职责；</w:t>
      </w:r>
    </w:p>
    <w:p w14:paraId="4BADE53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24.7.2 按照竞争性磋商文件规定的评标办法进行评审，对评审意见承担个人责任；</w:t>
      </w:r>
    </w:p>
    <w:p w14:paraId="2774AF2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24.7.3 对评审过程和结果，以及供应商的商业秘密保密；</w:t>
      </w:r>
    </w:p>
    <w:p w14:paraId="22E47E2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24.7.4 参与评审报告的起草；</w:t>
      </w:r>
    </w:p>
    <w:p w14:paraId="4CFCA15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24.7.5 配合相关部门的投诉处理工作；</w:t>
      </w:r>
    </w:p>
    <w:p w14:paraId="2AF0788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24.7.6 配合采购代理机构答复供应商提出的质疑。</w:t>
      </w:r>
    </w:p>
    <w:p w14:paraId="1815CE5A">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2</w:t>
      </w:r>
      <w:r>
        <w:rPr>
          <w:rFonts w:hint="eastAsia" w:ascii="仿宋" w:hAnsi="仿宋" w:eastAsia="仿宋"/>
          <w:bCs w:val="0"/>
          <w:color w:val="auto"/>
          <w:highlight w:val="none"/>
        </w:rPr>
        <w:t>5</w:t>
      </w:r>
      <w:r>
        <w:rPr>
          <w:rFonts w:ascii="仿宋" w:hAnsi="仿宋" w:eastAsia="仿宋"/>
          <w:bCs w:val="0"/>
          <w:color w:val="auto"/>
          <w:highlight w:val="none"/>
        </w:rPr>
        <w:t>、</w:t>
      </w:r>
      <w:r>
        <w:rPr>
          <w:rFonts w:hint="eastAsia" w:ascii="仿宋" w:hAnsi="仿宋" w:eastAsia="仿宋"/>
          <w:bCs w:val="0"/>
          <w:color w:val="auto"/>
          <w:highlight w:val="none"/>
        </w:rPr>
        <w:t>磋商</w:t>
      </w:r>
      <w:r>
        <w:rPr>
          <w:rFonts w:ascii="仿宋" w:hAnsi="仿宋" w:eastAsia="仿宋"/>
          <w:bCs w:val="0"/>
          <w:color w:val="auto"/>
          <w:highlight w:val="none"/>
        </w:rPr>
        <w:t>过程的保密与公正</w:t>
      </w:r>
    </w:p>
    <w:p w14:paraId="3159282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.1竞争性磋商</w:t>
      </w:r>
      <w:r>
        <w:rPr>
          <w:rFonts w:hint="eastAsia" w:ascii="仿宋" w:hAnsi="仿宋" w:eastAsia="仿宋"/>
          <w:color w:val="auto"/>
          <w:sz w:val="24"/>
          <w:highlight w:val="none"/>
        </w:rPr>
        <w:t>结束</w:t>
      </w:r>
      <w:r>
        <w:rPr>
          <w:rFonts w:ascii="仿宋" w:hAnsi="仿宋" w:eastAsia="仿宋"/>
          <w:color w:val="auto"/>
          <w:sz w:val="24"/>
          <w:highlight w:val="none"/>
        </w:rPr>
        <w:t>后，直至向</w:t>
      </w:r>
      <w:r>
        <w:rPr>
          <w:rFonts w:hint="eastAsia" w:ascii="仿宋" w:hAnsi="仿宋" w:eastAsia="仿宋"/>
          <w:color w:val="auto"/>
          <w:sz w:val="24"/>
          <w:highlight w:val="none"/>
        </w:rPr>
        <w:t>成交</w:t>
      </w:r>
      <w:r>
        <w:rPr>
          <w:rFonts w:ascii="仿宋" w:hAnsi="仿宋" w:eastAsia="仿宋"/>
          <w:color w:val="auto"/>
          <w:sz w:val="24"/>
          <w:highlight w:val="none"/>
        </w:rPr>
        <w:t>供应商授予合同时止，凡是与审查、澄清、评价和比较投标的有关资料以及授标建议等，均不得向供应商或与评审无关的其他人员透露。有关</w:t>
      </w:r>
      <w:r>
        <w:rPr>
          <w:rFonts w:hint="eastAsia" w:ascii="仿宋" w:hAnsi="仿宋" w:eastAsia="仿宋"/>
          <w:color w:val="auto"/>
          <w:sz w:val="24"/>
          <w:highlight w:val="none"/>
        </w:rPr>
        <w:t>成交</w:t>
      </w:r>
      <w:r>
        <w:rPr>
          <w:rFonts w:ascii="仿宋" w:hAnsi="仿宋" w:eastAsia="仿宋"/>
          <w:color w:val="auto"/>
          <w:sz w:val="24"/>
          <w:highlight w:val="none"/>
        </w:rPr>
        <w:t>信息，须经</w:t>
      </w:r>
      <w:r>
        <w:rPr>
          <w:rFonts w:hint="eastAsia" w:ascii="仿宋" w:hAnsi="仿宋" w:eastAsia="仿宋"/>
          <w:color w:val="auto"/>
          <w:sz w:val="24"/>
          <w:highlight w:val="none"/>
        </w:rPr>
        <w:t>竞争性磋商文件</w:t>
      </w:r>
      <w:r>
        <w:rPr>
          <w:rFonts w:ascii="仿宋" w:hAnsi="仿宋" w:eastAsia="仿宋"/>
          <w:color w:val="auto"/>
          <w:sz w:val="24"/>
          <w:highlight w:val="none"/>
        </w:rPr>
        <w:t>规定的程序报批后，由</w:t>
      </w:r>
      <w:r>
        <w:rPr>
          <w:rFonts w:hint="eastAsia" w:ascii="仿宋" w:hAnsi="仿宋" w:eastAsia="仿宋"/>
          <w:color w:val="auto"/>
          <w:sz w:val="24"/>
          <w:highlight w:val="none"/>
        </w:rPr>
        <w:t>采购代理机构</w:t>
      </w:r>
      <w:r>
        <w:rPr>
          <w:rFonts w:ascii="仿宋" w:hAnsi="仿宋" w:eastAsia="仿宋"/>
          <w:color w:val="auto"/>
          <w:sz w:val="24"/>
          <w:highlight w:val="none"/>
        </w:rPr>
        <w:t>书面通知有关单位。</w:t>
      </w:r>
      <w:r>
        <w:rPr>
          <w:rFonts w:hint="eastAsia" w:ascii="仿宋" w:hAnsi="仿宋" w:eastAsia="仿宋"/>
          <w:color w:val="auto"/>
          <w:sz w:val="24"/>
          <w:highlight w:val="none"/>
        </w:rPr>
        <w:t>采购代理机构</w:t>
      </w:r>
      <w:r>
        <w:rPr>
          <w:rFonts w:ascii="仿宋" w:hAnsi="仿宋" w:eastAsia="仿宋"/>
          <w:color w:val="auto"/>
          <w:sz w:val="24"/>
          <w:highlight w:val="none"/>
        </w:rPr>
        <w:t>对除此以外的其他渠道得悉的任何信息都不承担责任，并保留对其信息来源追究的权力。</w:t>
      </w:r>
    </w:p>
    <w:p w14:paraId="52DFC07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.2</w:t>
      </w:r>
      <w:r>
        <w:rPr>
          <w:rFonts w:hint="eastAsia" w:ascii="仿宋" w:hAnsi="仿宋" w:eastAsia="仿宋"/>
          <w:color w:val="auto"/>
          <w:sz w:val="24"/>
          <w:highlight w:val="none"/>
        </w:rPr>
        <w:t>在响应文件的审查、澄清、评价和比较以及授予合同的过程中，供应商试图向采购人、采购代理机构和磋商小组成员施加任何影响，都将会导致其投标被拒绝，</w:t>
      </w:r>
      <w:r>
        <w:rPr>
          <w:rFonts w:ascii="仿宋" w:hAnsi="仿宋" w:eastAsia="仿宋"/>
          <w:color w:val="auto"/>
          <w:sz w:val="24"/>
          <w:highlight w:val="none"/>
        </w:rPr>
        <w:t>并承担相应的法律责任</w:t>
      </w:r>
      <w:r>
        <w:rPr>
          <w:rFonts w:hint="eastAsia" w:ascii="仿宋" w:hAnsi="仿宋" w:eastAsia="仿宋"/>
          <w:color w:val="auto"/>
          <w:sz w:val="24"/>
          <w:highlight w:val="none"/>
        </w:rPr>
        <w:t>。</w:t>
      </w:r>
    </w:p>
    <w:p w14:paraId="54A2E00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25.3 在评审期间，采购代理机构将通过指定联络人（非磋商小组成员）与供应商进行联系。</w:t>
      </w:r>
    </w:p>
    <w:p w14:paraId="4AA986E6">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2</w:t>
      </w:r>
      <w:r>
        <w:rPr>
          <w:rFonts w:hint="eastAsia" w:ascii="仿宋" w:hAnsi="仿宋" w:eastAsia="仿宋"/>
          <w:bCs w:val="0"/>
          <w:color w:val="auto"/>
          <w:highlight w:val="none"/>
        </w:rPr>
        <w:t>6</w:t>
      </w:r>
      <w:r>
        <w:rPr>
          <w:rFonts w:ascii="仿宋" w:hAnsi="仿宋" w:eastAsia="仿宋"/>
          <w:bCs w:val="0"/>
          <w:color w:val="auto"/>
          <w:highlight w:val="none"/>
        </w:rPr>
        <w:t>、</w:t>
      </w:r>
      <w:r>
        <w:rPr>
          <w:rFonts w:hint="eastAsia" w:ascii="仿宋" w:hAnsi="仿宋" w:eastAsia="仿宋"/>
          <w:bCs w:val="0"/>
          <w:color w:val="auto"/>
          <w:highlight w:val="none"/>
        </w:rPr>
        <w:t>磋商</w:t>
      </w:r>
      <w:r>
        <w:rPr>
          <w:rFonts w:ascii="仿宋" w:hAnsi="仿宋" w:eastAsia="仿宋"/>
          <w:bCs w:val="0"/>
          <w:color w:val="auto"/>
          <w:highlight w:val="none"/>
        </w:rPr>
        <w:t>的澄清</w:t>
      </w:r>
    </w:p>
    <w:p w14:paraId="4070E53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.1评审期间，为有助于对响应文件的审查、评价和比较，</w:t>
      </w:r>
      <w:r>
        <w:rPr>
          <w:rFonts w:hint="eastAsia" w:ascii="仿宋" w:hAnsi="仿宋" w:eastAsia="仿宋"/>
          <w:color w:val="auto"/>
          <w:sz w:val="24"/>
          <w:highlight w:val="none"/>
        </w:rPr>
        <w:t>磋商小组</w:t>
      </w:r>
      <w:r>
        <w:rPr>
          <w:rFonts w:ascii="仿宋" w:hAnsi="仿宋" w:eastAsia="仿宋"/>
          <w:color w:val="auto"/>
          <w:sz w:val="24"/>
          <w:highlight w:val="none"/>
        </w:rPr>
        <w:t>有权要求供应商对</w:t>
      </w:r>
      <w:r>
        <w:rPr>
          <w:rFonts w:hint="eastAsia" w:ascii="仿宋" w:hAnsi="仿宋" w:eastAsia="仿宋"/>
          <w:color w:val="auto"/>
          <w:sz w:val="24"/>
          <w:highlight w:val="none"/>
        </w:rPr>
        <w:t>响应文件</w:t>
      </w:r>
      <w:r>
        <w:rPr>
          <w:rFonts w:ascii="仿宋" w:hAnsi="仿宋" w:eastAsia="仿宋"/>
          <w:color w:val="auto"/>
          <w:sz w:val="24"/>
          <w:highlight w:val="none"/>
        </w:rPr>
        <w:t>中含义不明确的内容进行澄清。</w:t>
      </w:r>
    </w:p>
    <w:p w14:paraId="3142FDB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.2供应商必须按照磋商小组通知的时间、地点派技术和商务人员进行答疑和澄清，书面澄清的内容须由供应商法定代表人或授权代表签署，并作为响应文件的补充部分，但实质性内容不得做任何更改。</w:t>
      </w:r>
    </w:p>
    <w:p w14:paraId="3E9FD86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.3 接到磋商小组澄清要求的供应商如未按规定做出澄清，其风险由供应商自行承担。</w:t>
      </w:r>
    </w:p>
    <w:p w14:paraId="4666458A">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2</w:t>
      </w:r>
      <w:r>
        <w:rPr>
          <w:rFonts w:hint="eastAsia" w:ascii="仿宋" w:hAnsi="仿宋" w:eastAsia="仿宋"/>
          <w:bCs w:val="0"/>
          <w:color w:val="auto"/>
          <w:highlight w:val="none"/>
        </w:rPr>
        <w:t>7</w:t>
      </w:r>
      <w:r>
        <w:rPr>
          <w:rFonts w:ascii="仿宋" w:hAnsi="仿宋" w:eastAsia="仿宋"/>
          <w:bCs w:val="0"/>
          <w:color w:val="auto"/>
          <w:highlight w:val="none"/>
        </w:rPr>
        <w:t>、对响应文件的</w:t>
      </w:r>
      <w:r>
        <w:rPr>
          <w:rFonts w:hint="eastAsia" w:ascii="仿宋" w:hAnsi="仿宋" w:eastAsia="仿宋"/>
          <w:bCs w:val="0"/>
          <w:color w:val="auto"/>
          <w:highlight w:val="none"/>
        </w:rPr>
        <w:t>审查</w:t>
      </w:r>
    </w:p>
    <w:p w14:paraId="2248ED2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.1响应文件初审分为资格性检查和符合性检查。</w:t>
      </w:r>
    </w:p>
    <w:p w14:paraId="13AF46F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资格性检查：依据法律法规和竞争性磋商文件的规定，对响应文件中的资格证明文件等进行审查，以确定供应商是否具备</w:t>
      </w:r>
      <w:r>
        <w:rPr>
          <w:rFonts w:hint="eastAsia" w:ascii="仿宋" w:hAnsi="仿宋" w:eastAsia="仿宋"/>
          <w:color w:val="auto"/>
          <w:sz w:val="24"/>
          <w:highlight w:val="none"/>
        </w:rPr>
        <w:t>参与竞争性磋商的</w:t>
      </w:r>
      <w:r>
        <w:rPr>
          <w:rFonts w:ascii="仿宋" w:hAnsi="仿宋" w:eastAsia="仿宋"/>
          <w:color w:val="auto"/>
          <w:sz w:val="24"/>
          <w:highlight w:val="none"/>
        </w:rPr>
        <w:t>资格。</w:t>
      </w:r>
    </w:p>
    <w:p w14:paraId="5F591B9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符合性检查：依据竞争性磋商文件的规定，从响应文件的有效性、完整性和对竞争性磋商文件的响应程度进行审查，以确定是否对竞争性磋商文件的实质性要求作出响应。</w:t>
      </w:r>
    </w:p>
    <w:p w14:paraId="14A627F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2在详细评审之前，磋商小组将首先审查每份响应文件是否实质性响应了竞争性磋商文件的要求。实质性响应是与竞争性磋商文件要求的全部实质性条款、条件和规格相符且其余非实质性技术及商务条款没有重大偏离和保留。</w:t>
      </w:r>
    </w:p>
    <w:p w14:paraId="072EE4A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所谓重大偏离或保留是指与竞争性磋商文件规定的主要技术指标或重要的商务条款或除上述以外的多项指标要求存在负偏离，或者在实质上与竞争性磋商文件不一致，而且限制了合同中</w:t>
      </w:r>
      <w:r>
        <w:rPr>
          <w:rFonts w:hint="eastAsia" w:ascii="仿宋" w:hAnsi="仿宋" w:eastAsia="仿宋"/>
          <w:color w:val="auto"/>
          <w:sz w:val="24"/>
          <w:highlight w:val="none"/>
        </w:rPr>
        <w:t>采购单位</w:t>
      </w:r>
      <w:r>
        <w:rPr>
          <w:rFonts w:ascii="仿宋" w:hAnsi="仿宋" w:eastAsia="仿宋"/>
          <w:color w:val="auto"/>
          <w:sz w:val="24"/>
          <w:highlight w:val="none"/>
        </w:rPr>
        <w:t>的权利或供应商的义务，纠正这些偏离或保留将会对其他实质性响应要求的供应商的竞争地位产生不公正的影响。重大偏离的认定需经过磋商小组三分之二及以上成员的认定。磋商小组</w:t>
      </w:r>
      <w:r>
        <w:rPr>
          <w:rFonts w:hint="eastAsia" w:ascii="仿宋" w:hAnsi="仿宋" w:eastAsia="仿宋"/>
          <w:color w:val="auto"/>
          <w:sz w:val="24"/>
          <w:highlight w:val="none"/>
        </w:rPr>
        <w:t>判断</w:t>
      </w:r>
      <w:r>
        <w:rPr>
          <w:rFonts w:ascii="仿宋" w:hAnsi="仿宋" w:eastAsia="仿宋"/>
          <w:color w:val="auto"/>
          <w:sz w:val="24"/>
          <w:highlight w:val="none"/>
        </w:rPr>
        <w:t>响应文件的响应性只根据响应文件本身的内容，而不寻求外部的证据。</w:t>
      </w:r>
    </w:p>
    <w:p w14:paraId="73FAD89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.3如果响应文件实质上没有响应竞争性磋商文件的要求，磋商小组将予以拒绝，供应商不得通过修改或撤销不合要求的偏离或保留而使其成为实质性响应的投标。</w:t>
      </w:r>
    </w:p>
    <w:p w14:paraId="640DC27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.4磋商小组将对确定为实质性响应的</w:t>
      </w:r>
      <w:r>
        <w:rPr>
          <w:rFonts w:hint="eastAsia" w:ascii="仿宋" w:hAnsi="仿宋" w:eastAsia="仿宋"/>
          <w:color w:val="auto"/>
          <w:sz w:val="24"/>
          <w:highlight w:val="none"/>
        </w:rPr>
        <w:t>响应文件</w:t>
      </w:r>
      <w:r>
        <w:rPr>
          <w:rFonts w:ascii="仿宋" w:hAnsi="仿宋" w:eastAsia="仿宋"/>
          <w:color w:val="auto"/>
          <w:sz w:val="24"/>
          <w:highlight w:val="none"/>
        </w:rPr>
        <w:t>进行进一步审核，看其是否有计算上或累加上的算术错误，修正错误的原则如下：</w:t>
      </w:r>
    </w:p>
    <w:p w14:paraId="4127312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 如果用数字表示的金额和用文字表示的金额不一致时，应以文字表示的金额为准进行修正；</w:t>
      </w:r>
    </w:p>
    <w:p w14:paraId="5D54197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 当单价与数量的乘积和总价不一致时，以单价为准进行修正。只有在磋商小组认为单价有明显的小数点错误时，才能以标出的总价为准，并修改单价；</w:t>
      </w:r>
    </w:p>
    <w:p w14:paraId="195FADD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宋体" w:hAnsi="宋体"/>
          <w:color w:val="auto"/>
          <w:sz w:val="24"/>
          <w:highlight w:val="none"/>
        </w:rPr>
        <w:t xml:space="preserve"> </w:t>
      </w:r>
      <w:r>
        <w:rPr>
          <w:rFonts w:hint="eastAsia" w:ascii="仿宋" w:hAnsi="仿宋" w:eastAsia="仿宋"/>
          <w:color w:val="auto"/>
          <w:sz w:val="24"/>
          <w:highlight w:val="none"/>
        </w:rPr>
        <w:t>数量不符合竞争性磋商文件要求的作为未实质性响应竞争性磋商文件处理，该响应文件将不予以详细评审，也不得中标；</w:t>
      </w:r>
    </w:p>
    <w:p w14:paraId="7D34324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(4)当分项报价与汇总总价不符时，以分项报价为准重新计算总价（总价已注明优惠的除外）。</w:t>
      </w:r>
    </w:p>
    <w:p w14:paraId="40C1B98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.5磋商小组将按上述修正错误的方法调整响应文件中的报价，调整后的价格应对供应商具有约束力。如果供应商不接受修正后的价格，则其</w:t>
      </w:r>
      <w:r>
        <w:rPr>
          <w:rFonts w:hint="eastAsia" w:ascii="仿宋" w:hAnsi="仿宋" w:eastAsia="仿宋"/>
          <w:color w:val="auto"/>
          <w:sz w:val="24"/>
          <w:highlight w:val="none"/>
        </w:rPr>
        <w:t>响应文件</w:t>
      </w:r>
      <w:r>
        <w:rPr>
          <w:rFonts w:ascii="仿宋" w:hAnsi="仿宋" w:eastAsia="仿宋"/>
          <w:color w:val="auto"/>
          <w:sz w:val="24"/>
          <w:highlight w:val="none"/>
        </w:rPr>
        <w:t>将被拒绝。</w:t>
      </w:r>
    </w:p>
    <w:p w14:paraId="54C8BBF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.6磋商小组将允许修正响应文件中不构成重大偏离的、微小的、非正规的、不一致的或不规则的地方。</w:t>
      </w:r>
    </w:p>
    <w:p w14:paraId="7F774253">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2</w:t>
      </w:r>
      <w:r>
        <w:rPr>
          <w:rFonts w:hint="eastAsia" w:ascii="仿宋" w:hAnsi="仿宋" w:eastAsia="仿宋"/>
          <w:b/>
          <w:bCs/>
          <w:color w:val="auto"/>
          <w:sz w:val="24"/>
          <w:highlight w:val="none"/>
        </w:rPr>
        <w:t>7</w:t>
      </w:r>
      <w:r>
        <w:rPr>
          <w:rFonts w:ascii="仿宋" w:hAnsi="仿宋" w:eastAsia="仿宋"/>
          <w:b/>
          <w:bCs/>
          <w:color w:val="auto"/>
          <w:sz w:val="24"/>
          <w:highlight w:val="none"/>
        </w:rPr>
        <w:t>.7竞争性磋商文件提供的工艺、材料、设备、参考的商标或样本目录号码等仅作为说明并没有限制性，磋商供应商在</w:t>
      </w:r>
      <w:r>
        <w:rPr>
          <w:rFonts w:hint="eastAsia" w:ascii="仿宋" w:hAnsi="仿宋" w:eastAsia="仿宋"/>
          <w:b/>
          <w:bCs/>
          <w:color w:val="auto"/>
          <w:sz w:val="24"/>
          <w:highlight w:val="none"/>
        </w:rPr>
        <w:t>响应文件</w:t>
      </w:r>
      <w:r>
        <w:rPr>
          <w:rFonts w:ascii="仿宋" w:hAnsi="仿宋" w:eastAsia="仿宋"/>
          <w:b/>
          <w:bCs/>
          <w:color w:val="auto"/>
          <w:sz w:val="24"/>
          <w:highlight w:val="none"/>
        </w:rPr>
        <w:t>中可以选用替代标准，但这些替代标准要优于或相当于技术规格中要求的标准，以满足采购单位的需要。</w:t>
      </w:r>
    </w:p>
    <w:p w14:paraId="0FCD55A3">
      <w:pPr>
        <w:pStyle w:val="5"/>
        <w:spacing w:before="0" w:after="0" w:line="360" w:lineRule="auto"/>
        <w:ind w:firstLine="422" w:firstLineChars="150"/>
        <w:rPr>
          <w:rFonts w:ascii="仿宋" w:hAnsi="仿宋" w:eastAsia="仿宋"/>
          <w:bCs w:val="0"/>
          <w:color w:val="auto"/>
          <w:highlight w:val="none"/>
        </w:rPr>
      </w:pPr>
      <w:bookmarkStart w:id="109" w:name="_Toc16938550"/>
      <w:bookmarkStart w:id="110" w:name="_Toc513029234"/>
      <w:bookmarkStart w:id="111" w:name="_Toc20823306"/>
      <w:r>
        <w:rPr>
          <w:rFonts w:ascii="仿宋" w:hAnsi="仿宋" w:eastAsia="仿宋"/>
          <w:bCs w:val="0"/>
          <w:color w:val="auto"/>
          <w:highlight w:val="none"/>
        </w:rPr>
        <w:t>2</w:t>
      </w:r>
      <w:r>
        <w:rPr>
          <w:rFonts w:hint="eastAsia" w:ascii="仿宋" w:hAnsi="仿宋" w:eastAsia="仿宋"/>
          <w:bCs w:val="0"/>
          <w:color w:val="auto"/>
          <w:highlight w:val="none"/>
        </w:rPr>
        <w:t>8</w:t>
      </w:r>
      <w:r>
        <w:rPr>
          <w:rFonts w:ascii="仿宋" w:hAnsi="仿宋" w:eastAsia="仿宋"/>
          <w:bCs w:val="0"/>
          <w:color w:val="auto"/>
          <w:highlight w:val="none"/>
        </w:rPr>
        <w:t>、</w:t>
      </w:r>
      <w:bookmarkEnd w:id="109"/>
      <w:bookmarkEnd w:id="110"/>
      <w:bookmarkEnd w:id="111"/>
      <w:r>
        <w:rPr>
          <w:rFonts w:ascii="仿宋" w:hAnsi="仿宋" w:eastAsia="仿宋"/>
          <w:bCs w:val="0"/>
          <w:color w:val="auto"/>
          <w:highlight w:val="none"/>
        </w:rPr>
        <w:t>无效</w:t>
      </w:r>
      <w:r>
        <w:rPr>
          <w:rFonts w:hint="eastAsia" w:ascii="仿宋" w:hAnsi="仿宋" w:eastAsia="仿宋"/>
          <w:bCs w:val="0"/>
          <w:color w:val="auto"/>
          <w:highlight w:val="none"/>
        </w:rPr>
        <w:t>响应</w:t>
      </w:r>
      <w:r>
        <w:rPr>
          <w:rFonts w:ascii="仿宋" w:hAnsi="仿宋" w:eastAsia="仿宋"/>
          <w:bCs w:val="0"/>
          <w:color w:val="auto"/>
          <w:highlight w:val="none"/>
        </w:rPr>
        <w:t>条款和废标条款</w:t>
      </w:r>
    </w:p>
    <w:p w14:paraId="15B1EFC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8</w:t>
      </w:r>
      <w:r>
        <w:rPr>
          <w:rFonts w:ascii="仿宋" w:hAnsi="仿宋" w:eastAsia="仿宋"/>
          <w:color w:val="auto"/>
          <w:sz w:val="24"/>
          <w:highlight w:val="none"/>
        </w:rPr>
        <w:t>.1无效</w:t>
      </w:r>
      <w:r>
        <w:rPr>
          <w:rFonts w:hint="eastAsia" w:ascii="仿宋" w:hAnsi="仿宋" w:eastAsia="仿宋"/>
          <w:color w:val="auto"/>
          <w:sz w:val="24"/>
          <w:highlight w:val="none"/>
        </w:rPr>
        <w:t>响应</w:t>
      </w:r>
      <w:r>
        <w:rPr>
          <w:rFonts w:ascii="仿宋" w:hAnsi="仿宋" w:eastAsia="仿宋"/>
          <w:color w:val="auto"/>
          <w:sz w:val="24"/>
          <w:highlight w:val="none"/>
        </w:rPr>
        <w:t>条款</w:t>
      </w:r>
    </w:p>
    <w:p w14:paraId="236F1B8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（1）未按本次竞争性磋商公告及竞争性磋商文件相关要求交纳磋商保证金的；</w:t>
      </w:r>
    </w:p>
    <w:p w14:paraId="1605760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（2）供应商不具备竞争性磋商文件中规定资格要求的；</w:t>
      </w:r>
    </w:p>
    <w:p w14:paraId="32CF104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（3）未按照竞争性磋商文件规定要求密封、无单位盖章、无法定代表人或授权代理人签字盖章的；</w:t>
      </w:r>
    </w:p>
    <w:p w14:paraId="086FBE8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（4）供应商在报价时采用选择性或是附有条件的报价；</w:t>
      </w:r>
    </w:p>
    <w:p w14:paraId="1CE08F9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（5）经磋商小组认定与竞争性磋商文件有重大偏离；</w:t>
      </w:r>
    </w:p>
    <w:p w14:paraId="3CEBF6B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6</w:t>
      </w:r>
      <w:r>
        <w:rPr>
          <w:rFonts w:hint="eastAsia" w:ascii="仿宋" w:hAnsi="仿宋" w:eastAsia="仿宋"/>
          <w:color w:val="auto"/>
          <w:sz w:val="24"/>
          <w:highlight w:val="none"/>
        </w:rPr>
        <w:t>）响应文件的有效期不满足竞争性磋商文件要求的；</w:t>
      </w:r>
    </w:p>
    <w:p w14:paraId="723333F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（7）报价超过</w:t>
      </w:r>
      <w:r>
        <w:rPr>
          <w:rFonts w:hint="eastAsia" w:ascii="仿宋" w:hAnsi="仿宋" w:eastAsia="仿宋" w:cs="仿宋"/>
          <w:color w:val="auto"/>
          <w:sz w:val="24"/>
          <w:highlight w:val="none"/>
        </w:rPr>
        <w:t>规定的预算金额或者最高限价的</w:t>
      </w:r>
      <w:r>
        <w:rPr>
          <w:rFonts w:hint="eastAsia" w:ascii="仿宋" w:hAnsi="仿宋" w:eastAsia="仿宋"/>
          <w:color w:val="auto"/>
          <w:sz w:val="24"/>
          <w:highlight w:val="none"/>
        </w:rPr>
        <w:t>；</w:t>
      </w:r>
    </w:p>
    <w:p w14:paraId="1ADFDD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（8）有下列情形之一的，视为供应商串通投标，其投标无效：</w:t>
      </w:r>
    </w:p>
    <w:p w14:paraId="367A25DF">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① 不同供应商的响应文件由同一单位或者个人编制；</w:t>
      </w:r>
    </w:p>
    <w:p w14:paraId="7EC2192D">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② 不同供应商委托同一单位或者个人办理投标事宜；</w:t>
      </w:r>
    </w:p>
    <w:p w14:paraId="1CEF776F">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③ 不同供应商的响应文件载明的项目管理成员或者联系人员为同一人；</w:t>
      </w:r>
    </w:p>
    <w:p w14:paraId="4549E11A">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④ 不同供应商的响应文件异常一致或者投标报价呈规律性差异；</w:t>
      </w:r>
    </w:p>
    <w:p w14:paraId="2BDF0F81">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⑤ 不同供应商的响应文件相互混装；</w:t>
      </w:r>
    </w:p>
    <w:p w14:paraId="3A5D89F1">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⑥不同供应商的磋商保证金从同一单位或者个人的账户转出。</w:t>
      </w:r>
    </w:p>
    <w:p w14:paraId="47210713">
      <w:pPr>
        <w:spacing w:line="500" w:lineRule="exact"/>
        <w:ind w:firstLine="480" w:firstLineChars="200"/>
        <w:jc w:val="left"/>
        <w:rPr>
          <w:rFonts w:ascii="仿宋" w:hAnsi="仿宋" w:eastAsia="仿宋" w:cs="仿宋"/>
          <w:bCs/>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bCs/>
          <w:color w:val="auto"/>
          <w:sz w:val="24"/>
          <w:highlight w:val="none"/>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730B9DD">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66BFCB8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（11）竞争性磋商文件明确规定无效的其他情形；</w:t>
      </w:r>
    </w:p>
    <w:p w14:paraId="5D9D70B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（12）其他被磋商小组认定无效的情况；</w:t>
      </w:r>
    </w:p>
    <w:p w14:paraId="6B29B988">
      <w:pPr>
        <w:pStyle w:val="21"/>
        <w:ind w:firstLine="480"/>
        <w:rPr>
          <w:rFonts w:eastAsia="仿宋"/>
          <w:color w:val="auto"/>
          <w:highlight w:val="none"/>
        </w:rPr>
      </w:pPr>
      <w:r>
        <w:rPr>
          <w:rFonts w:hint="eastAsia" w:ascii="仿宋" w:hAnsi="仿宋" w:eastAsia="仿宋"/>
          <w:color w:val="auto"/>
          <w:sz w:val="24"/>
          <w:highlight w:val="none"/>
        </w:rPr>
        <w:t>（13）其他法律、法规及本竞争性磋商文件规定的属无效响应的情形。</w:t>
      </w:r>
    </w:p>
    <w:p w14:paraId="76B4F20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8</w:t>
      </w:r>
      <w:r>
        <w:rPr>
          <w:rFonts w:ascii="仿宋" w:hAnsi="仿宋" w:eastAsia="仿宋"/>
          <w:color w:val="auto"/>
          <w:sz w:val="24"/>
          <w:highlight w:val="none"/>
        </w:rPr>
        <w:t>.2废标条款：</w:t>
      </w:r>
    </w:p>
    <w:p w14:paraId="067B0CD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（1）因情况变化，不再符合规定的竞争性磋商采购方式适用情形的；</w:t>
      </w:r>
    </w:p>
    <w:p w14:paraId="239D40E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（2）出现影响招标公正的违法、违规行为的；</w:t>
      </w:r>
    </w:p>
    <w:p w14:paraId="72034F3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（3）供应商的报价均超过了采购预算，采购人不能接受的；</w:t>
      </w:r>
    </w:p>
    <w:p w14:paraId="3612B04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（4）因重大变故，招标任务取消的。</w:t>
      </w:r>
    </w:p>
    <w:p w14:paraId="2A265F44">
      <w:pPr>
        <w:ind w:firstLine="562" w:firstLineChars="200"/>
        <w:rPr>
          <w:rFonts w:ascii="仿宋" w:hAnsi="仿宋" w:eastAsia="仿宋"/>
          <w:b/>
          <w:color w:val="auto"/>
          <w:sz w:val="28"/>
          <w:szCs w:val="28"/>
          <w:highlight w:val="none"/>
        </w:rPr>
      </w:pPr>
      <w:r>
        <w:rPr>
          <w:rFonts w:ascii="仿宋" w:hAnsi="仿宋" w:eastAsia="仿宋"/>
          <w:b/>
          <w:color w:val="auto"/>
          <w:sz w:val="28"/>
          <w:szCs w:val="28"/>
          <w:highlight w:val="none"/>
        </w:rPr>
        <w:t>29、评审</w:t>
      </w:r>
    </w:p>
    <w:p w14:paraId="2ADF9B5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9</w:t>
      </w:r>
      <w:r>
        <w:rPr>
          <w:rFonts w:ascii="仿宋" w:hAnsi="仿宋" w:eastAsia="仿宋"/>
          <w:color w:val="auto"/>
          <w:sz w:val="24"/>
          <w:highlight w:val="none"/>
        </w:rPr>
        <w:t>.1磋商小组将仅对按照本须知有关规定确定为实质上响应竞争性磋商文件要求的响应文件进行评审。</w:t>
      </w:r>
    </w:p>
    <w:p w14:paraId="79F385E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9</w:t>
      </w:r>
      <w:r>
        <w:rPr>
          <w:rFonts w:ascii="仿宋" w:hAnsi="仿宋" w:eastAsia="仿宋"/>
          <w:color w:val="auto"/>
          <w:sz w:val="24"/>
          <w:highlight w:val="none"/>
        </w:rPr>
        <w:t>.2</w:t>
      </w:r>
      <w:r>
        <w:rPr>
          <w:rFonts w:hint="eastAsia" w:ascii="仿宋" w:hAnsi="仿宋" w:eastAsia="仿宋"/>
          <w:color w:val="auto"/>
          <w:sz w:val="24"/>
          <w:highlight w:val="none"/>
        </w:rPr>
        <w:t>本项目评标办法采用综合评分法，是指响应文件满足竞争性磋商文件全部实质性要求且按照评审因素的量化指标评审得分最高的供应商为第一成交候选人的评分办法（详见第五章</w:t>
      </w:r>
      <w:r>
        <w:rPr>
          <w:rFonts w:ascii="仿宋" w:hAnsi="仿宋" w:eastAsia="仿宋"/>
          <w:color w:val="auto"/>
          <w:sz w:val="24"/>
          <w:highlight w:val="none"/>
        </w:rPr>
        <w:t>评标方法与评标标准</w:t>
      </w:r>
      <w:r>
        <w:rPr>
          <w:rFonts w:hint="eastAsia" w:ascii="仿宋" w:hAnsi="仿宋" w:eastAsia="仿宋"/>
          <w:color w:val="auto"/>
          <w:sz w:val="24"/>
          <w:highlight w:val="none"/>
        </w:rPr>
        <w:t>）</w:t>
      </w:r>
    </w:p>
    <w:p w14:paraId="78001531">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9</w:t>
      </w:r>
      <w:r>
        <w:rPr>
          <w:rFonts w:ascii="仿宋" w:hAnsi="仿宋" w:eastAsia="仿宋"/>
          <w:b/>
          <w:color w:val="auto"/>
          <w:sz w:val="24"/>
          <w:highlight w:val="none"/>
        </w:rPr>
        <w:t xml:space="preserve">.3 </w:t>
      </w:r>
      <w:r>
        <w:rPr>
          <w:rFonts w:hint="eastAsia" w:ascii="仿宋" w:hAnsi="仿宋" w:eastAsia="仿宋"/>
          <w:b/>
          <w:color w:val="auto"/>
          <w:sz w:val="24"/>
          <w:highlight w:val="none"/>
        </w:rPr>
        <w:t>最低的投标报价或最高的折扣比例是中标的重要条件，但不是唯一条件。</w:t>
      </w:r>
    </w:p>
    <w:p w14:paraId="02A51C8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9</w:t>
      </w:r>
      <w:r>
        <w:rPr>
          <w:rFonts w:ascii="仿宋" w:hAnsi="仿宋" w:eastAsia="仿宋"/>
          <w:color w:val="auto"/>
          <w:sz w:val="24"/>
          <w:highlight w:val="none"/>
        </w:rPr>
        <w:t>.4</w:t>
      </w:r>
      <w:r>
        <w:rPr>
          <w:rFonts w:hint="eastAsia" w:ascii="仿宋" w:hAnsi="仿宋" w:eastAsia="仿宋"/>
          <w:color w:val="auto"/>
          <w:sz w:val="24"/>
          <w:highlight w:val="none"/>
        </w:rPr>
        <w:t>磋商小组</w:t>
      </w:r>
      <w:r>
        <w:rPr>
          <w:rFonts w:ascii="仿宋" w:hAnsi="仿宋" w:eastAsia="仿宋"/>
          <w:color w:val="auto"/>
          <w:sz w:val="24"/>
          <w:highlight w:val="none"/>
        </w:rPr>
        <w:t>有权评定成交供应商</w:t>
      </w:r>
      <w:r>
        <w:rPr>
          <w:rFonts w:hint="eastAsia" w:ascii="仿宋" w:hAnsi="仿宋" w:eastAsia="仿宋"/>
          <w:color w:val="auto"/>
          <w:sz w:val="24"/>
          <w:highlight w:val="none"/>
        </w:rPr>
        <w:t>，同时也有权拒绝任何或所有供应商中标。同时，为维护国家利益，采购人在授予合同之前仍有选择或拒绝任何或全部投标的权力，且无须向受影响的供应商承担任何责任。</w:t>
      </w:r>
    </w:p>
    <w:p w14:paraId="38AEDBA9">
      <w:pPr>
        <w:pStyle w:val="4"/>
        <w:spacing w:beforeLines="50" w:afterLines="50" w:line="360" w:lineRule="auto"/>
        <w:ind w:firstLine="482" w:firstLineChars="150"/>
        <w:rPr>
          <w:rFonts w:ascii="仿宋" w:hAnsi="仿宋" w:eastAsia="仿宋"/>
          <w:color w:val="auto"/>
          <w:sz w:val="32"/>
          <w:szCs w:val="22"/>
          <w:highlight w:val="none"/>
          <w:u w:val="none"/>
        </w:rPr>
      </w:pPr>
      <w:r>
        <w:rPr>
          <w:rFonts w:ascii="仿宋" w:hAnsi="仿宋" w:eastAsia="仿宋"/>
          <w:color w:val="auto"/>
          <w:sz w:val="32"/>
          <w:szCs w:val="22"/>
          <w:highlight w:val="none"/>
          <w:u w:val="none"/>
        </w:rPr>
        <w:t>六、定标</w:t>
      </w:r>
    </w:p>
    <w:p w14:paraId="13E4F1C6">
      <w:pPr>
        <w:pStyle w:val="5"/>
        <w:spacing w:before="0" w:after="0" w:line="360" w:lineRule="auto"/>
        <w:ind w:firstLine="422" w:firstLineChars="150"/>
        <w:rPr>
          <w:rFonts w:ascii="仿宋" w:hAnsi="仿宋" w:eastAsia="仿宋"/>
          <w:bCs w:val="0"/>
          <w:color w:val="auto"/>
          <w:highlight w:val="none"/>
        </w:rPr>
      </w:pPr>
      <w:r>
        <w:rPr>
          <w:rFonts w:hint="eastAsia" w:ascii="仿宋" w:hAnsi="仿宋" w:eastAsia="仿宋"/>
          <w:bCs w:val="0"/>
          <w:color w:val="auto"/>
          <w:highlight w:val="none"/>
        </w:rPr>
        <w:t>30</w:t>
      </w:r>
      <w:r>
        <w:rPr>
          <w:rFonts w:ascii="仿宋" w:hAnsi="仿宋" w:eastAsia="仿宋"/>
          <w:bCs w:val="0"/>
          <w:color w:val="auto"/>
          <w:highlight w:val="none"/>
        </w:rPr>
        <w:t>、确定</w:t>
      </w:r>
      <w:r>
        <w:rPr>
          <w:rFonts w:hint="eastAsia" w:ascii="仿宋" w:hAnsi="仿宋" w:eastAsia="仿宋"/>
          <w:bCs w:val="0"/>
          <w:color w:val="auto"/>
          <w:highlight w:val="none"/>
        </w:rPr>
        <w:t>预成交供应商</w:t>
      </w:r>
    </w:p>
    <w:p w14:paraId="0439311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.1磋商小组根据本竞争性磋商文件规定评分办法与评分标准向</w:t>
      </w:r>
      <w:r>
        <w:rPr>
          <w:rFonts w:hint="eastAsia" w:ascii="仿宋" w:hAnsi="仿宋" w:eastAsia="仿宋"/>
          <w:color w:val="auto"/>
          <w:sz w:val="24"/>
          <w:highlight w:val="none"/>
        </w:rPr>
        <w:t>采购人</w:t>
      </w:r>
      <w:r>
        <w:rPr>
          <w:rFonts w:ascii="仿宋" w:hAnsi="仿宋" w:eastAsia="仿宋"/>
          <w:color w:val="auto"/>
          <w:sz w:val="24"/>
          <w:highlight w:val="none"/>
        </w:rPr>
        <w:t>推荐成交候选人。</w:t>
      </w:r>
    </w:p>
    <w:p w14:paraId="75DAAD1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.2</w:t>
      </w:r>
      <w:r>
        <w:rPr>
          <w:rFonts w:hint="eastAsia" w:ascii="仿宋" w:hAnsi="仿宋" w:eastAsia="仿宋" w:cs="仿宋"/>
          <w:color w:val="auto"/>
          <w:sz w:val="24"/>
          <w:highlight w:val="none"/>
        </w:rPr>
        <w:t>采购人应当自收到评标报告之日起５个工作日内，在评标报告确定的</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候选人名单中按顺序确定</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。采购人在收到评标报告5个工作日内未按评标报告推荐的</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候选人顺序确定</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，又不能说明合法理由的，视同按评标报告推荐的顺序确定排名第一的</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候选人为</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。采购人也可以事前授权评委会直接确定预</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w:t>
      </w:r>
    </w:p>
    <w:p w14:paraId="0E0A5F1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.3</w:t>
      </w:r>
      <w:r>
        <w:rPr>
          <w:rFonts w:hint="eastAsia" w:ascii="仿宋" w:hAnsi="仿宋" w:eastAsia="仿宋"/>
          <w:color w:val="auto"/>
          <w:sz w:val="24"/>
          <w:highlight w:val="none"/>
        </w:rPr>
        <w:t>预成交供应商确定</w:t>
      </w:r>
      <w:r>
        <w:rPr>
          <w:rFonts w:ascii="仿宋" w:hAnsi="仿宋" w:eastAsia="仿宋"/>
          <w:color w:val="auto"/>
          <w:sz w:val="24"/>
          <w:highlight w:val="none"/>
        </w:rPr>
        <w:t>后，</w:t>
      </w:r>
      <w:r>
        <w:rPr>
          <w:rFonts w:hint="eastAsia" w:ascii="仿宋" w:hAnsi="仿宋" w:eastAsia="仿宋"/>
          <w:color w:val="auto"/>
          <w:sz w:val="24"/>
          <w:highlight w:val="none"/>
        </w:rPr>
        <w:t>采购代理机构将预成交供应商、预成交金额、评委名单等信息</w:t>
      </w:r>
      <w:r>
        <w:rPr>
          <w:rFonts w:ascii="仿宋" w:hAnsi="仿宋" w:eastAsia="仿宋"/>
          <w:color w:val="auto"/>
          <w:sz w:val="24"/>
          <w:highlight w:val="none"/>
        </w:rPr>
        <w:t>在</w:t>
      </w:r>
      <w:r>
        <w:rPr>
          <w:rFonts w:hint="eastAsia" w:ascii="仿宋" w:hAnsi="仿宋" w:eastAsia="仿宋"/>
          <w:color w:val="auto"/>
          <w:sz w:val="24"/>
          <w:highlight w:val="none"/>
        </w:rPr>
        <w:t>相关媒体网站</w:t>
      </w:r>
      <w:r>
        <w:rPr>
          <w:rFonts w:ascii="仿宋" w:hAnsi="仿宋" w:eastAsia="仿宋"/>
          <w:color w:val="auto"/>
          <w:sz w:val="24"/>
          <w:highlight w:val="none"/>
        </w:rPr>
        <w:t>进行公示，公示时间为</w:t>
      </w:r>
      <w:r>
        <w:rPr>
          <w:rFonts w:hint="eastAsia" w:ascii="仿宋" w:hAnsi="仿宋" w:eastAsia="仿宋"/>
          <w:color w:val="auto"/>
          <w:sz w:val="24"/>
          <w:highlight w:val="none"/>
        </w:rPr>
        <w:t>1</w:t>
      </w:r>
      <w:r>
        <w:rPr>
          <w:rFonts w:ascii="仿宋" w:hAnsi="仿宋" w:eastAsia="仿宋"/>
          <w:color w:val="auto"/>
          <w:sz w:val="24"/>
          <w:highlight w:val="none"/>
        </w:rPr>
        <w:t>个工作日。</w:t>
      </w:r>
    </w:p>
    <w:p w14:paraId="44E81ED1">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3</w:t>
      </w:r>
      <w:r>
        <w:rPr>
          <w:rFonts w:hint="eastAsia" w:ascii="仿宋" w:hAnsi="仿宋" w:eastAsia="仿宋"/>
          <w:bCs w:val="0"/>
          <w:color w:val="auto"/>
          <w:highlight w:val="none"/>
        </w:rPr>
        <w:t>1</w:t>
      </w:r>
      <w:r>
        <w:rPr>
          <w:rFonts w:ascii="仿宋" w:hAnsi="仿宋" w:eastAsia="仿宋"/>
          <w:bCs w:val="0"/>
          <w:color w:val="auto"/>
          <w:highlight w:val="none"/>
        </w:rPr>
        <w:t>、质疑处理</w:t>
      </w:r>
    </w:p>
    <w:p w14:paraId="412E60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供应商认为磋商文件、磋商过程、中标或者成交结果使自己的权益受到损害的，可以在知道或者应知其权益受到损害之日起七个工作日内，以书面形式向采购人、采购代理机构提出，并必须在上述规定期限内一次性提出针对同一采购程序环节的质疑，同时出具相关必要证明（证据）材料。 </w:t>
      </w:r>
    </w:p>
    <w:p w14:paraId="1A2FEE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31.2提出质疑的供应商应当是参与所质疑项目招标活动的供应商。</w:t>
      </w:r>
    </w:p>
    <w:p w14:paraId="4A3529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31.3供应商提出质疑应当提交质疑函和必要的证明材料。质疑函应当包括下列内容：</w:t>
      </w:r>
    </w:p>
    <w:p w14:paraId="7DDCFC2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（一）供应商的姓名或者名称、地址、邮编、联系人及联系电话；</w:t>
      </w:r>
    </w:p>
    <w:p w14:paraId="73F79A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（二）质疑项目的名称、编号；</w:t>
      </w:r>
    </w:p>
    <w:p w14:paraId="0B52B6B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（三）具体、明确的质疑事项和与质疑事项相关的请求；</w:t>
      </w:r>
    </w:p>
    <w:p w14:paraId="2F6E16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（四）事实依据；</w:t>
      </w:r>
    </w:p>
    <w:p w14:paraId="06DB37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（五）必要的法律依据；</w:t>
      </w:r>
    </w:p>
    <w:p w14:paraId="41D1C3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（六）提出质疑的日期。</w:t>
      </w:r>
    </w:p>
    <w:p w14:paraId="783602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供应商为自然人的，应当由本人签字；供应商为法人或者其他组织的，应当由法定代表人、主要负责人签字或者盖章，并加盖公章，不得加盖合同专用章、投标专用章等各种形式的专用章。</w:t>
      </w:r>
    </w:p>
    <w:p w14:paraId="00116D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供应商可以委托代理人进行质疑，应当提交供应商签字盖章的授权委托书，授权委托书应当载明代理人的姓名或者名称、代理事项、具体权限、期限和相关事项。</w:t>
      </w:r>
    </w:p>
    <w:p w14:paraId="3FF45C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31.4以联合体形式参加政府采购活动的，其投诉应当由组成联合体的所有供应商共同提出。</w:t>
      </w:r>
    </w:p>
    <w:p w14:paraId="6DB4F5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31.5供应商未在第31.1条规定的时限内向招标代理机构提出质疑、质疑不符合第31.1至第31.4条规定的将被视为无效质疑，采购代理机构不予受理。</w:t>
      </w:r>
    </w:p>
    <w:p w14:paraId="62D0ED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在有效质疑期内，若质疑仅是对磋商文件设置的资质、条件、技术要求、商务条款、评标办法（评分标准）等内容的，因该等质疑的设置已在本章节第7条（磋商文件的澄清）中予以设定，此时不再作为有效质疑被审查。</w:t>
      </w:r>
    </w:p>
    <w:p w14:paraId="0D68BD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31.7提出质疑的供应商及被质疑的供应商的投标保证金在质疑处理期间，暂不予退还。</w:t>
      </w:r>
    </w:p>
    <w:p w14:paraId="5552E9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31.8采购代理机构将在收到磋商供应商的书面质疑后七个工作日内作出答复，但答复的内容不得涉及商业秘密。</w:t>
      </w:r>
    </w:p>
    <w:p w14:paraId="3C6883E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31.9被质疑的供应商应当配合招标代理机构对质疑内容调查取证，并提供所需的相关资料，否则，视同质疑成立。</w:t>
      </w:r>
    </w:p>
    <w:p w14:paraId="22D7F6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31.10在有效质疑期内，如有参加磋商的供应商提出有效质疑，并因此可能对成交结果产生影响，而最终被取消成交的，采购代理机构对成交单位不承担任何责任。</w:t>
      </w:r>
    </w:p>
    <w:p w14:paraId="179F5D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31.11若异议供应商对采购代理机构答复不满意的，双方应通过友好协商解决；协商不成的，可向常州仲裁委员会申请仲裁。</w:t>
      </w:r>
    </w:p>
    <w:p w14:paraId="53784B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31.12供应商提出书面质疑必须有理、有据，不得恶意质疑或提交虚假质疑。否则，一经查实，采购代理机构有权依据规定报请行业监管部门对该供应商进行相应的行政处罚。</w:t>
      </w:r>
    </w:p>
    <w:p w14:paraId="5450A405">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3</w:t>
      </w:r>
      <w:r>
        <w:rPr>
          <w:rFonts w:hint="eastAsia" w:ascii="仿宋" w:hAnsi="仿宋" w:eastAsia="仿宋"/>
          <w:bCs w:val="0"/>
          <w:color w:val="auto"/>
          <w:highlight w:val="none"/>
        </w:rPr>
        <w:t>2</w:t>
      </w:r>
      <w:r>
        <w:rPr>
          <w:rFonts w:ascii="仿宋" w:hAnsi="仿宋" w:eastAsia="仿宋"/>
          <w:bCs w:val="0"/>
          <w:color w:val="auto"/>
          <w:highlight w:val="none"/>
        </w:rPr>
        <w:t>、成交通知书</w:t>
      </w:r>
    </w:p>
    <w:p w14:paraId="1D90ECB8">
      <w:pPr>
        <w:spacing w:line="360" w:lineRule="auto"/>
        <w:ind w:firstLine="480" w:firstLineChars="200"/>
        <w:rPr>
          <w:rFonts w:ascii="仿宋" w:hAnsi="仿宋" w:eastAsia="仿宋" w:cs="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w:t>
      </w:r>
      <w:r>
        <w:rPr>
          <w:rFonts w:ascii="仿宋" w:hAnsi="仿宋" w:eastAsia="仿宋"/>
          <w:color w:val="auto"/>
          <w:sz w:val="24"/>
          <w:highlight w:val="none"/>
        </w:rPr>
        <w:t xml:space="preserve">.l </w:t>
      </w:r>
      <w:r>
        <w:rPr>
          <w:rFonts w:hint="eastAsia" w:ascii="仿宋" w:hAnsi="仿宋" w:eastAsia="仿宋" w:cs="仿宋"/>
          <w:color w:val="auto"/>
          <w:sz w:val="24"/>
          <w:highlight w:val="none"/>
        </w:rPr>
        <w:t>预成交公告发布后，招标代理机构将向成交供应商发出成交通知书。</w:t>
      </w:r>
    </w:p>
    <w:p w14:paraId="5B00FAE6">
      <w:pPr>
        <w:spacing w:line="360" w:lineRule="auto"/>
        <w:ind w:firstLine="480" w:firstLineChars="200"/>
        <w:rPr>
          <w:rFonts w:ascii="仿宋" w:hAnsi="仿宋" w:eastAsia="仿宋" w:cs="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w:t>
      </w:r>
      <w:r>
        <w:rPr>
          <w:rFonts w:ascii="仿宋" w:hAnsi="仿宋" w:eastAsia="仿宋"/>
          <w:color w:val="auto"/>
          <w:sz w:val="24"/>
          <w:highlight w:val="none"/>
        </w:rPr>
        <w:t>.2 成交通知书将是合同的一个组成部分。对</w:t>
      </w:r>
      <w:r>
        <w:rPr>
          <w:rFonts w:hint="eastAsia" w:ascii="仿宋" w:hAnsi="仿宋" w:eastAsia="仿宋"/>
          <w:color w:val="auto"/>
          <w:sz w:val="24"/>
          <w:highlight w:val="none"/>
        </w:rPr>
        <w:t>采购人</w:t>
      </w:r>
      <w:r>
        <w:rPr>
          <w:rFonts w:ascii="仿宋" w:hAnsi="仿宋" w:eastAsia="仿宋"/>
          <w:color w:val="auto"/>
          <w:sz w:val="24"/>
          <w:highlight w:val="none"/>
        </w:rPr>
        <w:t>和</w:t>
      </w:r>
      <w:r>
        <w:rPr>
          <w:rFonts w:hint="eastAsia" w:ascii="仿宋" w:hAnsi="仿宋" w:eastAsia="仿宋"/>
          <w:color w:val="auto"/>
          <w:sz w:val="24"/>
          <w:highlight w:val="none"/>
        </w:rPr>
        <w:t>成交供应商</w:t>
      </w:r>
      <w:r>
        <w:rPr>
          <w:rFonts w:ascii="仿宋" w:hAnsi="仿宋" w:eastAsia="仿宋"/>
          <w:color w:val="auto"/>
          <w:sz w:val="24"/>
          <w:highlight w:val="none"/>
        </w:rPr>
        <w:t>均具有法律效力。成交通知书发出后，</w:t>
      </w:r>
      <w:r>
        <w:rPr>
          <w:rFonts w:hint="eastAsia" w:ascii="仿宋" w:hAnsi="仿宋" w:eastAsia="仿宋"/>
          <w:color w:val="auto"/>
          <w:sz w:val="24"/>
          <w:highlight w:val="none"/>
        </w:rPr>
        <w:t>采购人</w:t>
      </w:r>
      <w:r>
        <w:rPr>
          <w:rFonts w:hint="eastAsia" w:ascii="仿宋" w:hAnsi="仿宋" w:eastAsia="仿宋" w:cs="仿宋"/>
          <w:color w:val="auto"/>
          <w:sz w:val="24"/>
          <w:highlight w:val="none"/>
        </w:rPr>
        <w:t>不得违法改变成交结果，</w:t>
      </w:r>
      <w:r>
        <w:rPr>
          <w:rFonts w:hint="eastAsia" w:ascii="仿宋" w:hAnsi="仿宋" w:eastAsia="仿宋"/>
          <w:color w:val="auto"/>
          <w:sz w:val="24"/>
          <w:highlight w:val="none"/>
        </w:rPr>
        <w:t>成交供应商</w:t>
      </w:r>
      <w:r>
        <w:rPr>
          <w:rFonts w:hint="eastAsia" w:ascii="仿宋" w:hAnsi="仿宋" w:eastAsia="仿宋" w:cs="仿宋"/>
          <w:color w:val="auto"/>
          <w:sz w:val="24"/>
          <w:highlight w:val="none"/>
        </w:rPr>
        <w:t>无正当理由不得放弃中标，且不影响其成交服务费的支付。</w:t>
      </w:r>
    </w:p>
    <w:p w14:paraId="4708863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采购代理机构及采购人对未成交供应商不承担解释其未中标原因的义务。</w:t>
      </w:r>
    </w:p>
    <w:p w14:paraId="04C5D4D5">
      <w:pPr>
        <w:pStyle w:val="4"/>
        <w:spacing w:beforeLines="50" w:afterLines="50" w:line="360" w:lineRule="auto"/>
        <w:ind w:firstLine="482" w:firstLineChars="150"/>
        <w:rPr>
          <w:rFonts w:ascii="仿宋" w:hAnsi="仿宋" w:eastAsia="仿宋"/>
          <w:color w:val="auto"/>
          <w:sz w:val="32"/>
          <w:szCs w:val="22"/>
          <w:highlight w:val="none"/>
          <w:u w:val="none"/>
        </w:rPr>
      </w:pPr>
      <w:r>
        <w:rPr>
          <w:rFonts w:ascii="仿宋" w:hAnsi="仿宋" w:eastAsia="仿宋"/>
          <w:color w:val="auto"/>
          <w:sz w:val="32"/>
          <w:szCs w:val="22"/>
          <w:highlight w:val="none"/>
          <w:u w:val="none"/>
        </w:rPr>
        <w:t>七、授予合同</w:t>
      </w:r>
    </w:p>
    <w:p w14:paraId="16983A0F">
      <w:pPr>
        <w:pStyle w:val="5"/>
        <w:spacing w:before="0" w:after="0" w:line="360" w:lineRule="auto"/>
        <w:ind w:firstLine="422" w:firstLineChars="150"/>
        <w:rPr>
          <w:rFonts w:ascii="仿宋" w:hAnsi="仿宋" w:eastAsia="仿宋"/>
          <w:bCs w:val="0"/>
          <w:color w:val="auto"/>
          <w:highlight w:val="none"/>
        </w:rPr>
      </w:pPr>
      <w:r>
        <w:rPr>
          <w:rFonts w:ascii="仿宋" w:hAnsi="仿宋" w:eastAsia="仿宋"/>
          <w:bCs w:val="0"/>
          <w:color w:val="auto"/>
          <w:highlight w:val="none"/>
        </w:rPr>
        <w:t>3</w:t>
      </w:r>
      <w:r>
        <w:rPr>
          <w:rFonts w:hint="eastAsia" w:ascii="仿宋" w:hAnsi="仿宋" w:eastAsia="仿宋"/>
          <w:bCs w:val="0"/>
          <w:color w:val="auto"/>
          <w:highlight w:val="none"/>
        </w:rPr>
        <w:t>3</w:t>
      </w:r>
      <w:r>
        <w:rPr>
          <w:rFonts w:ascii="仿宋" w:hAnsi="仿宋" w:eastAsia="仿宋"/>
          <w:bCs w:val="0"/>
          <w:color w:val="auto"/>
          <w:highlight w:val="none"/>
        </w:rPr>
        <w:t>、签订合同</w:t>
      </w:r>
    </w:p>
    <w:p w14:paraId="2CB2016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3</w:t>
      </w:r>
      <w:r>
        <w:rPr>
          <w:rFonts w:ascii="仿宋" w:hAnsi="仿宋" w:eastAsia="仿宋"/>
          <w:color w:val="auto"/>
          <w:sz w:val="24"/>
          <w:highlight w:val="none"/>
        </w:rPr>
        <w:t>.l</w:t>
      </w:r>
      <w:r>
        <w:rPr>
          <w:rFonts w:hint="eastAsia" w:ascii="仿宋" w:hAnsi="仿宋" w:eastAsia="仿宋"/>
          <w:color w:val="auto"/>
          <w:sz w:val="24"/>
          <w:highlight w:val="none"/>
        </w:rPr>
        <w:t>采购人和成交供应商应当自成交通知书发出之日起7日内，按照竞争性磋商文件和成交供应商的响应文件订立书面合同。采购人和成交供应商不得再行订立背离合同实质性内容的其他协议。</w:t>
      </w:r>
    </w:p>
    <w:p w14:paraId="7A0D7EB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3</w:t>
      </w:r>
      <w:r>
        <w:rPr>
          <w:rFonts w:ascii="仿宋" w:hAnsi="仿宋" w:eastAsia="仿宋"/>
          <w:color w:val="auto"/>
          <w:sz w:val="24"/>
          <w:highlight w:val="none"/>
        </w:rPr>
        <w:t xml:space="preserve">.2 </w:t>
      </w:r>
      <w:r>
        <w:rPr>
          <w:rFonts w:hint="eastAsia" w:ascii="仿宋" w:hAnsi="仿宋" w:eastAsia="仿宋"/>
          <w:color w:val="auto"/>
          <w:sz w:val="24"/>
          <w:highlight w:val="none"/>
        </w:rPr>
        <w:t>签订合同及合同条款应以</w:t>
      </w:r>
      <w:r>
        <w:rPr>
          <w:rFonts w:ascii="仿宋" w:hAnsi="仿宋" w:eastAsia="仿宋"/>
          <w:color w:val="auto"/>
          <w:sz w:val="24"/>
          <w:highlight w:val="none"/>
        </w:rPr>
        <w:t>竞争性磋商文件、成交供应商的响应文件及招标过程中有关澄清、承诺文件</w:t>
      </w:r>
      <w:r>
        <w:rPr>
          <w:rFonts w:hint="eastAsia" w:ascii="仿宋" w:hAnsi="仿宋" w:eastAsia="仿宋"/>
          <w:color w:val="auto"/>
          <w:sz w:val="24"/>
          <w:highlight w:val="none"/>
        </w:rPr>
        <w:t>为依据</w:t>
      </w:r>
      <w:r>
        <w:rPr>
          <w:rFonts w:ascii="仿宋" w:hAnsi="仿宋" w:eastAsia="仿宋"/>
          <w:color w:val="auto"/>
          <w:sz w:val="24"/>
          <w:highlight w:val="none"/>
        </w:rPr>
        <w:t>。</w:t>
      </w:r>
    </w:p>
    <w:p w14:paraId="40BCB99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3</w:t>
      </w:r>
      <w:r>
        <w:rPr>
          <w:rFonts w:ascii="仿宋" w:hAnsi="仿宋" w:eastAsia="仿宋"/>
          <w:color w:val="auto"/>
          <w:sz w:val="24"/>
          <w:highlight w:val="none"/>
        </w:rPr>
        <w:t>.3 签订合同后，成交供应商不得将</w:t>
      </w:r>
      <w:r>
        <w:rPr>
          <w:rFonts w:hint="eastAsia" w:ascii="仿宋" w:hAnsi="仿宋" w:eastAsia="仿宋"/>
          <w:color w:val="auto"/>
          <w:sz w:val="24"/>
          <w:highlight w:val="none"/>
        </w:rPr>
        <w:t>合同</w:t>
      </w:r>
      <w:r>
        <w:rPr>
          <w:rFonts w:ascii="仿宋" w:hAnsi="仿宋" w:eastAsia="仿宋"/>
          <w:color w:val="auto"/>
          <w:sz w:val="24"/>
          <w:highlight w:val="none"/>
        </w:rPr>
        <w:t>相关服务进行转包。未经</w:t>
      </w:r>
      <w:r>
        <w:rPr>
          <w:rFonts w:hint="eastAsia" w:ascii="仿宋" w:hAnsi="仿宋" w:eastAsia="仿宋"/>
          <w:color w:val="auto"/>
          <w:sz w:val="24"/>
          <w:highlight w:val="none"/>
        </w:rPr>
        <w:t>采购人</w:t>
      </w:r>
      <w:r>
        <w:rPr>
          <w:rFonts w:ascii="仿宋" w:hAnsi="仿宋" w:eastAsia="仿宋"/>
          <w:color w:val="auto"/>
          <w:sz w:val="24"/>
          <w:highlight w:val="none"/>
        </w:rPr>
        <w:t>同意，成交供应商也不得采用分包的形式履行合同，否则</w:t>
      </w:r>
      <w:r>
        <w:rPr>
          <w:rFonts w:hint="eastAsia" w:ascii="仿宋" w:hAnsi="仿宋" w:eastAsia="仿宋"/>
          <w:color w:val="auto"/>
          <w:sz w:val="24"/>
          <w:highlight w:val="none"/>
        </w:rPr>
        <w:t>采购人</w:t>
      </w:r>
      <w:r>
        <w:rPr>
          <w:rFonts w:ascii="仿宋" w:hAnsi="仿宋" w:eastAsia="仿宋"/>
          <w:color w:val="auto"/>
          <w:sz w:val="24"/>
          <w:highlight w:val="none"/>
        </w:rPr>
        <w:t>有权终止合同，成交供应商的履约保证金将不予退还。转包或分包造成</w:t>
      </w:r>
      <w:r>
        <w:rPr>
          <w:rFonts w:hint="eastAsia" w:ascii="仿宋" w:hAnsi="仿宋" w:eastAsia="仿宋"/>
          <w:color w:val="auto"/>
          <w:sz w:val="24"/>
          <w:highlight w:val="none"/>
        </w:rPr>
        <w:t>采购人</w:t>
      </w:r>
      <w:r>
        <w:rPr>
          <w:rFonts w:ascii="仿宋" w:hAnsi="仿宋" w:eastAsia="仿宋"/>
          <w:color w:val="auto"/>
          <w:sz w:val="24"/>
          <w:highlight w:val="none"/>
        </w:rPr>
        <w:t>损失的，成交供应商应承担相应赔偿责任。</w:t>
      </w:r>
    </w:p>
    <w:p w14:paraId="06D69059">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4</w:t>
      </w:r>
      <w:r>
        <w:rPr>
          <w:rFonts w:hint="eastAsia" w:ascii="仿宋" w:hAnsi="仿宋" w:eastAsia="仿宋"/>
          <w:color w:val="auto"/>
          <w:sz w:val="24"/>
          <w:highlight w:val="none"/>
        </w:rPr>
        <w:t>成交供应商未按期签订合同的，采购人可以与排位在成交供应商之后第一位的成交候选人签订合同或重新委托进行招标：</w:t>
      </w:r>
    </w:p>
    <w:p w14:paraId="1CA3D5A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4</w:t>
      </w:r>
      <w:r>
        <w:rPr>
          <w:rFonts w:hint="eastAsia" w:ascii="仿宋" w:hAnsi="仿宋" w:eastAsia="仿宋"/>
          <w:color w:val="auto"/>
          <w:sz w:val="24"/>
          <w:highlight w:val="none"/>
        </w:rPr>
        <w:t>.1成交供应商因不可抗力导致无法按期签订合同的，应当在不可抗力发生之日起5日内提出，并提供书面证据，采购人及成交供应商互不承担任何责任及损失。</w:t>
      </w:r>
    </w:p>
    <w:p w14:paraId="2610266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w:t>
      </w:r>
      <w:r>
        <w:rPr>
          <w:rFonts w:ascii="仿宋" w:hAnsi="仿宋" w:eastAsia="仿宋"/>
          <w:color w:val="auto"/>
          <w:sz w:val="24"/>
          <w:highlight w:val="none"/>
        </w:rPr>
        <w:t>4</w:t>
      </w:r>
      <w:r>
        <w:rPr>
          <w:rFonts w:hint="eastAsia" w:ascii="仿宋" w:hAnsi="仿宋" w:eastAsia="仿宋"/>
          <w:color w:val="auto"/>
          <w:sz w:val="24"/>
          <w:highlight w:val="none"/>
        </w:rPr>
        <w:t>.2成交供应商无正当理由未在规定的时间内与采购人签订合同的，视为自动放弃中标资格</w:t>
      </w:r>
      <w:r>
        <w:rPr>
          <w:rFonts w:ascii="仿宋" w:hAnsi="仿宋" w:eastAsia="仿宋"/>
          <w:color w:val="auto"/>
          <w:sz w:val="24"/>
          <w:highlight w:val="none"/>
        </w:rPr>
        <w:t>，由此给</w:t>
      </w:r>
      <w:r>
        <w:rPr>
          <w:rFonts w:hint="eastAsia" w:ascii="仿宋" w:hAnsi="仿宋" w:eastAsia="仿宋"/>
          <w:color w:val="auto"/>
          <w:sz w:val="24"/>
          <w:highlight w:val="none"/>
        </w:rPr>
        <w:t>采购人</w:t>
      </w:r>
      <w:r>
        <w:rPr>
          <w:rFonts w:ascii="仿宋" w:hAnsi="仿宋" w:eastAsia="仿宋"/>
          <w:color w:val="auto"/>
          <w:sz w:val="24"/>
          <w:highlight w:val="none"/>
        </w:rPr>
        <w:t>造成损失的，成交供应商还应承担赔偿责任。</w:t>
      </w:r>
    </w:p>
    <w:p w14:paraId="57ED8862">
      <w:pPr>
        <w:pStyle w:val="5"/>
        <w:spacing w:before="0" w:after="0" w:line="360" w:lineRule="auto"/>
        <w:ind w:firstLine="562" w:firstLineChars="200"/>
        <w:rPr>
          <w:rFonts w:ascii="仿宋" w:hAnsi="仿宋" w:eastAsia="仿宋"/>
          <w:bCs w:val="0"/>
          <w:color w:val="auto"/>
          <w:highlight w:val="none"/>
        </w:rPr>
      </w:pPr>
      <w:r>
        <w:rPr>
          <w:rFonts w:hint="eastAsia" w:ascii="仿宋" w:hAnsi="仿宋" w:eastAsia="仿宋"/>
          <w:bCs w:val="0"/>
          <w:color w:val="auto"/>
          <w:highlight w:val="none"/>
        </w:rPr>
        <w:t>34、货物或服务的增加和减少</w:t>
      </w:r>
    </w:p>
    <w:p w14:paraId="3F25DB5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采购人在授予合同时，需追加与合同标的相同的货物或服务的，在不改变价格水平、合同及其他条款的前提下，采购人可以与成交供应商协商签订补充合同，但增加的数量或金额不得超过中标货物和服务数量或金额的10%。</w:t>
      </w:r>
    </w:p>
    <w:bookmarkEnd w:id="107"/>
    <w:bookmarkEnd w:id="108"/>
    <w:p w14:paraId="05159108">
      <w:pPr>
        <w:snapToGrid w:val="0"/>
        <w:spacing w:line="360" w:lineRule="auto"/>
        <w:ind w:firstLine="480" w:firstLineChars="200"/>
        <w:rPr>
          <w:rFonts w:ascii="仿宋" w:hAnsi="仿宋" w:eastAsia="仿宋"/>
          <w:color w:val="auto"/>
          <w:sz w:val="24"/>
          <w:highlight w:val="none"/>
        </w:rPr>
      </w:pPr>
      <w:bookmarkStart w:id="112" w:name="_Toc120614219"/>
      <w:bookmarkStart w:id="113" w:name="_Toc20823309"/>
      <w:bookmarkStart w:id="114" w:name="_Toc16938551"/>
      <w:bookmarkStart w:id="115" w:name="_Toc513029237"/>
      <w:bookmarkStart w:id="116" w:name="_Toc16938553"/>
      <w:bookmarkStart w:id="117" w:name="_Toc513029235"/>
      <w:bookmarkStart w:id="118" w:name="_Toc20823307"/>
    </w:p>
    <w:bookmarkEnd w:id="112"/>
    <w:bookmarkEnd w:id="113"/>
    <w:bookmarkEnd w:id="114"/>
    <w:bookmarkEnd w:id="115"/>
    <w:bookmarkEnd w:id="116"/>
    <w:bookmarkEnd w:id="117"/>
    <w:bookmarkEnd w:id="118"/>
    <w:p w14:paraId="51D38537">
      <w:pPr>
        <w:spacing w:line="360" w:lineRule="auto"/>
        <w:jc w:val="center"/>
        <w:outlineLvl w:val="0"/>
        <w:rPr>
          <w:rFonts w:ascii="仿宋" w:hAnsi="仿宋" w:eastAsia="仿宋"/>
          <w:b/>
          <w:color w:val="auto"/>
          <w:sz w:val="44"/>
          <w:szCs w:val="21"/>
          <w:highlight w:val="none"/>
        </w:rPr>
      </w:pPr>
      <w:bookmarkStart w:id="119" w:name="_Toc401414766"/>
      <w:bookmarkStart w:id="120" w:name="_Toc463253083"/>
      <w:r>
        <w:rPr>
          <w:rFonts w:hint="eastAsia" w:ascii="仿宋" w:hAnsi="仿宋" w:eastAsia="仿宋"/>
          <w:b/>
          <w:color w:val="auto"/>
          <w:sz w:val="44"/>
          <w:szCs w:val="21"/>
          <w:highlight w:val="none"/>
        </w:rPr>
        <w:t>第三章  项目需求</w:t>
      </w:r>
      <w:bookmarkEnd w:id="119"/>
      <w:bookmarkEnd w:id="120"/>
    </w:p>
    <w:p w14:paraId="588ACD90">
      <w:pPr>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一、项目内容：</w:t>
      </w:r>
    </w:p>
    <w:p w14:paraId="3C31F590">
      <w:pPr>
        <w:spacing w:line="360" w:lineRule="auto"/>
        <w:ind w:firstLine="480" w:firstLineChars="20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溧阳市人民医院一站式预约管理平台项目，本次申请建设的一站式预约管理系统，能够将医院各检查科室检查项目进行统一管理，通过诊间预约、预约中心预约（集中预约）、自助预约、手机预约、全自动预约等多种方式，采用动态规划算法、运筹学最短路径等算法自动规划预约时间，使患者可以在最短的时间内完成预约、检查，实现资源利用与管理。</w:t>
      </w:r>
    </w:p>
    <w:p w14:paraId="0B7309C0">
      <w:pPr>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二、项目要求：</w:t>
      </w:r>
    </w:p>
    <w:p w14:paraId="28BA2A93">
      <w:pPr>
        <w:numPr>
          <w:ilvl w:val="0"/>
          <w:numId w:val="1"/>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检查资源预约管理</w:t>
      </w:r>
    </w:p>
    <w:p w14:paraId="4A0B61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构建医技预约检查资源及号源池，向各预约渠道发布预约计划，对检查资源统一规划。系统基础功能管理如：系统用户、用户权限、数据权限、规则权限、临床科室维护、检查项目、检查设备、预约分类、扫描方式等。</w:t>
      </w:r>
    </w:p>
    <w:p w14:paraId="75C4EE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▲供应商应具备医技号源统一管理的能力，需提供以下任意一类，如统一号源类、统一资源类、医技号源类的计算机软件著作权登记证书</w:t>
      </w:r>
      <w:r>
        <w:rPr>
          <w:rFonts w:hint="eastAsia" w:ascii="仿宋" w:hAnsi="仿宋" w:eastAsia="仿宋" w:cs="仿宋"/>
          <w:b/>
          <w:bCs/>
          <w:color w:val="auto"/>
          <w:sz w:val="24"/>
          <w:highlight w:val="none"/>
        </w:rPr>
        <w:t>（响应文件中提供证书复印件，加盖供应商公章。）</w:t>
      </w:r>
    </w:p>
    <w:p w14:paraId="24E6FDD7">
      <w:pPr>
        <w:numPr>
          <w:ilvl w:val="0"/>
          <w:numId w:val="1"/>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检查预约资源统计分析</w:t>
      </w:r>
    </w:p>
    <w:p w14:paraId="4568845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检查预约的各项指标数据，包括当前预约量、到诊量、平均预约时长、平均等待时间、不同渠道预约量、不同来源预约量等，实现各项数据的实时动态刷新，数据可投放至大屏展示。</w:t>
      </w:r>
    </w:p>
    <w:p w14:paraId="1887726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▲系统提供预约管理统计分析功能，支持相关指标项的统计分析，包括以下内容：预约部位统计、预约人数统计、预约金额统计、登记工作量统计、号源占用率统计，同时具备可视化图表展示，支持打印和导出。</w:t>
      </w:r>
      <w:r>
        <w:rPr>
          <w:rFonts w:hint="eastAsia" w:ascii="仿宋" w:hAnsi="仿宋" w:eastAsia="仿宋" w:cs="仿宋"/>
          <w:b/>
          <w:bCs/>
          <w:color w:val="auto"/>
          <w:sz w:val="24"/>
          <w:highlight w:val="none"/>
        </w:rPr>
        <w:t>（投标人须满足此功能参数并提供国家权威机构认可的检测机构出具的产品检测报告复印件）</w:t>
      </w:r>
    </w:p>
    <w:p w14:paraId="74FFD8CB">
      <w:pPr>
        <w:numPr>
          <w:ilvl w:val="0"/>
          <w:numId w:val="1"/>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执行科室预约</w:t>
      </w:r>
    </w:p>
    <w:p w14:paraId="766578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超声科室预约：</w:t>
      </w:r>
    </w:p>
    <w:p w14:paraId="7F0D92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（1）统筹管理超声科室设备资源和预约资源；</w:t>
      </w:r>
    </w:p>
    <w:p w14:paraId="78EDB8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（2）根据一定规则（比如孕周要求、空腹要求、项目合并、队列合并等），超声科护士合理安排患者的预约时间。</w:t>
      </w:r>
    </w:p>
    <w:p w14:paraId="7F254E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系统具有对所有检查科室预约情况的查询功能，并且可按不同的查询条件进行查询，包括：日期、科室列表、诊室列表、全部号源、未预约、已预约，可显示所有检查设备的号源预约情况，并且通过颜色来加以区分。</w:t>
      </w:r>
      <w:r>
        <w:rPr>
          <w:rFonts w:hint="eastAsia" w:ascii="仿宋" w:hAnsi="仿宋" w:eastAsia="仿宋" w:cs="仿宋"/>
          <w:b/>
          <w:bCs/>
          <w:color w:val="auto"/>
          <w:sz w:val="24"/>
          <w:highlight w:val="none"/>
        </w:rPr>
        <w:t>（投标人须满足此功能参数并提供国家权威机构认可的检测机构出具的产品检测报告复印件）</w:t>
      </w:r>
    </w:p>
    <w:p w14:paraId="4C333F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放射科室预约：</w:t>
      </w:r>
    </w:p>
    <w:p w14:paraId="04063C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（1）统筹管理CT科室、磁共振科室、放射科室的设备资源和预约资源；</w:t>
      </w:r>
    </w:p>
    <w:p w14:paraId="44868F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（2）根据一定规则（比如扫描方式要求、检查时长要求等），安排患者的预约时间。</w:t>
      </w:r>
    </w:p>
    <w:p w14:paraId="55789F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（3）▲系统提供对号源的灵活设置功能，比如将某个号源设为保留号，将某个号源设为普通号，新增附加号。</w:t>
      </w:r>
      <w:r>
        <w:rPr>
          <w:rFonts w:hint="eastAsia" w:ascii="仿宋" w:hAnsi="仿宋" w:eastAsia="仿宋" w:cs="仿宋"/>
          <w:b/>
          <w:bCs/>
          <w:color w:val="auto"/>
          <w:sz w:val="24"/>
          <w:highlight w:val="none"/>
        </w:rPr>
        <w:t>（投标人须满足此功能参数并提供功能截图）</w:t>
      </w:r>
    </w:p>
    <w:p w14:paraId="3927FC6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内镜科室预约：</w:t>
      </w:r>
    </w:p>
    <w:p w14:paraId="43B59F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（1）统筹管理内镜科室的设备资源和预约资源；</w:t>
      </w:r>
    </w:p>
    <w:p w14:paraId="40F2D02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（2）针对患者的检查方式（普通/无痛）、检查用药等，合理安排患者的预约时间及注意事项告知。</w:t>
      </w:r>
    </w:p>
    <w:p w14:paraId="15C8251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4、门诊诊间预约</w:t>
      </w:r>
    </w:p>
    <w:p w14:paraId="628970C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门诊诊间预约提供给门诊医生在开出检查申请单后，在下医嘱后医生可根据患者的个人体症、检查设备预约的情况协助患者完成预约。</w:t>
      </w:r>
    </w:p>
    <w:p w14:paraId="454DA0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提供对患者档案的统一管理功能，可通过门诊号、住院号、姓名、黑白名单来查询患者相关信息，包括但不限于：姓名、门诊号、就诊卡号、住院号、体检档案号、身份证号、黑白名单、分值、违约记录、操作人、操作时间。支持手动和自动管理黑名单功能，并提供预约违约记录统计查询。</w:t>
      </w:r>
      <w:r>
        <w:rPr>
          <w:rFonts w:hint="eastAsia" w:ascii="仿宋" w:hAnsi="仿宋" w:eastAsia="仿宋" w:cs="仿宋"/>
          <w:b/>
          <w:bCs/>
          <w:color w:val="auto"/>
          <w:sz w:val="24"/>
          <w:highlight w:val="none"/>
        </w:rPr>
        <w:t>（投标人须满足此功能参数并提供国家权威机构认可的检测机构出具的产品检测报告复印件）</w:t>
      </w:r>
    </w:p>
    <w:p w14:paraId="5016A7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5、病区诊间预约</w:t>
      </w:r>
    </w:p>
    <w:p w14:paraId="59E441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病区诊间预约应用于各住院病区。通过开单科室权限，查看具有开单科室权限的所有检查项目数据。病区诊间预约提供分时段预约、一键预约、批量预约等预约操作。</w:t>
      </w:r>
    </w:p>
    <w:p w14:paraId="5E739A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支持提供最优检查预约方案，同时提供多种预约规则运算方式，包括但不限于以下内容：队列规则、号源规则、检查项目规则、同天规则、同类型规则、占号规则、设备预约规则、项目间隔规则、时令排班规则、黑名单规则。</w:t>
      </w:r>
      <w:r>
        <w:rPr>
          <w:rFonts w:hint="eastAsia" w:ascii="仿宋" w:hAnsi="仿宋" w:eastAsia="仿宋" w:cs="仿宋"/>
          <w:b/>
          <w:bCs/>
          <w:color w:val="auto"/>
          <w:sz w:val="24"/>
          <w:highlight w:val="none"/>
        </w:rPr>
        <w:t>（投标人须满足此功能参数并提供功能截图）</w:t>
      </w:r>
    </w:p>
    <w:p w14:paraId="34FED808">
      <w:pPr>
        <w:numPr>
          <w:ilvl w:val="0"/>
          <w:numId w:val="2"/>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全自动预约</w:t>
      </w:r>
    </w:p>
    <w:p w14:paraId="011661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根据查询检查申请单，按照规则知识库的配置要求，完成全自动批量预约，预约完成后通过预约号票自动打印等。</w:t>
      </w:r>
    </w:p>
    <w:p w14:paraId="565E99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（1）▲系统支持通过提供规则运算的参数配置，根据参数之间的关联、互斥、依赖等关系的运算，结合设备的使用情况，输出患者各个检查推荐的预约方案，预约方案可按需进行调整。</w:t>
      </w:r>
      <w:r>
        <w:rPr>
          <w:rFonts w:hint="eastAsia" w:ascii="仿宋" w:hAnsi="仿宋" w:eastAsia="仿宋" w:cs="仿宋"/>
          <w:b/>
          <w:bCs/>
          <w:color w:val="auto"/>
          <w:sz w:val="24"/>
          <w:highlight w:val="none"/>
        </w:rPr>
        <w:t>（投标人须满足此功能参数并提供功能截图）</w:t>
      </w:r>
    </w:p>
    <w:p w14:paraId="7AA08F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（2）▲系统提供占号规则，支持先诊疗后付费的模式，可用虚拟信息先占检查号源，待患者到院检查时补信息及收费后自动生效。</w:t>
      </w:r>
      <w:r>
        <w:rPr>
          <w:rFonts w:hint="eastAsia" w:ascii="仿宋" w:hAnsi="仿宋" w:eastAsia="仿宋" w:cs="仿宋"/>
          <w:b/>
          <w:bCs/>
          <w:color w:val="auto"/>
          <w:sz w:val="24"/>
          <w:highlight w:val="none"/>
        </w:rPr>
        <w:t>（投标人须满足此功能参数并提供功能截图）</w:t>
      </w:r>
    </w:p>
    <w:p w14:paraId="18277E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（3）▲系统提供规则运算的参数配置功能，其中可配置的参数类别包括但不限于患者基本信息参数、来源、优先级别、项目、部位、检查设备、检查时间等检查信息相关参数。</w:t>
      </w:r>
      <w:r>
        <w:rPr>
          <w:rFonts w:hint="eastAsia" w:ascii="仿宋" w:hAnsi="仿宋" w:eastAsia="仿宋" w:cs="仿宋"/>
          <w:b/>
          <w:bCs/>
          <w:color w:val="auto"/>
          <w:sz w:val="24"/>
          <w:highlight w:val="none"/>
        </w:rPr>
        <w:t>（投标人须满足此功能参数并提供国家权威机构认可的检测机构出具的产品检测报告复印件）</w:t>
      </w:r>
    </w:p>
    <w:p w14:paraId="2E9393EE">
      <w:pPr>
        <w:numPr>
          <w:ilvl w:val="0"/>
          <w:numId w:val="2"/>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移动应用预约</w:t>
      </w:r>
    </w:p>
    <w:p w14:paraId="008B6F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与移动终端上的APP、微信、支付宝等渠道整合，方便患者在家、在单位、在路上即可完成预约、改约业务。</w:t>
      </w:r>
    </w:p>
    <w:p w14:paraId="488F98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▲系统支持无缝嵌入微信公众号、支付宝生活号、小程序等各类预约渠道应用软件。</w:t>
      </w:r>
      <w:r>
        <w:rPr>
          <w:rFonts w:hint="eastAsia" w:ascii="仿宋" w:hAnsi="仿宋" w:eastAsia="仿宋" w:cs="仿宋"/>
          <w:b/>
          <w:bCs/>
          <w:color w:val="auto"/>
          <w:sz w:val="24"/>
          <w:highlight w:val="none"/>
        </w:rPr>
        <w:t>（投标人须满足此功能参数并提供国家权威机构认可的检测机构出具的产品检测报告复印件）</w:t>
      </w:r>
    </w:p>
    <w:p w14:paraId="3C470EA8">
      <w:pPr>
        <w:numPr>
          <w:ilvl w:val="-1"/>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自助机预约</w:t>
      </w:r>
    </w:p>
    <w:p w14:paraId="1BF55A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（1）满足患者在医院自助机自助完成医技检查预约；</w:t>
      </w:r>
    </w:p>
    <w:p w14:paraId="3C5077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（2）尊重患者个性，合理化选择预约时间；</w:t>
      </w:r>
    </w:p>
    <w:p w14:paraId="2DF9B47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（3）提供患者多科室项目同时预约；</w:t>
      </w:r>
    </w:p>
    <w:p w14:paraId="6DF050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（4）系统支持B/S技术架构，可将检查预约界面及预约列表展示等嵌入于自助机、查询机等自助设备。</w:t>
      </w:r>
    </w:p>
    <w:p w14:paraId="10C33C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9、接口对接</w:t>
      </w:r>
    </w:p>
    <w:p w14:paraId="5EAD8D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检查预约平台提供标准化的数据接口给HIS、PACS、排队叫号、集成平台、移动应用、短信平台等。</w:t>
      </w:r>
    </w:p>
    <w:p w14:paraId="3E6A050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▲系统提供接口配置的统一管理功能。</w:t>
      </w:r>
      <w:r>
        <w:rPr>
          <w:rFonts w:hint="eastAsia" w:ascii="仿宋" w:hAnsi="仿宋" w:eastAsia="仿宋" w:cs="仿宋"/>
          <w:b/>
          <w:bCs/>
          <w:color w:val="auto"/>
          <w:sz w:val="24"/>
          <w:highlight w:val="none"/>
        </w:rPr>
        <w:t>（投标人须满足此功能参数并提供功能截图）</w:t>
      </w:r>
    </w:p>
    <w:p w14:paraId="26BF3104">
      <w:pPr>
        <w:numPr>
          <w:ilvl w:val="255"/>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10、国产化适配能力</w:t>
      </w:r>
    </w:p>
    <w:p w14:paraId="1FA86255">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▲供应商需具备同类软件的国产化适配能力，包括国产化主流数据库、中间件的互认认证证书。</w:t>
      </w:r>
      <w:r>
        <w:rPr>
          <w:rFonts w:hint="eastAsia" w:ascii="仿宋" w:hAnsi="仿宋" w:eastAsia="仿宋" w:cs="仿宋"/>
          <w:b/>
          <w:bCs/>
          <w:color w:val="auto"/>
          <w:sz w:val="24"/>
          <w:highlight w:val="none"/>
        </w:rPr>
        <w:t>（响应文件中提供相关认证证书）</w:t>
      </w:r>
    </w:p>
    <w:p w14:paraId="0E3C9DBE">
      <w:pPr>
        <w:spacing w:line="360" w:lineRule="auto"/>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三、合同履约期限、质保期：</w:t>
      </w:r>
    </w:p>
    <w:p w14:paraId="379B27A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合同履约期限：合同签订后100个日历</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调试完毕，验收合格，交付采购人正常使用。</w:t>
      </w:r>
    </w:p>
    <w:p w14:paraId="4E9614FE">
      <w:pPr>
        <w:tabs>
          <w:tab w:val="left" w:pos="900"/>
        </w:tabs>
        <w:spacing w:line="360" w:lineRule="auto"/>
        <w:ind w:firstLine="480" w:firstLineChars="200"/>
        <w:jc w:val="left"/>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质保期：软件为自验收合格之日起 2 年</w:t>
      </w:r>
    </w:p>
    <w:p w14:paraId="7B37A5AE">
      <w:pPr>
        <w:tabs>
          <w:tab w:val="left" w:pos="900"/>
        </w:tabs>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四、承包方式：</w:t>
      </w:r>
    </w:p>
    <w:p w14:paraId="269BF7C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固定总价包干</w:t>
      </w:r>
    </w:p>
    <w:p w14:paraId="7E0A9020">
      <w:pPr>
        <w:spacing w:line="360" w:lineRule="auto"/>
        <w:jc w:val="left"/>
        <w:rPr>
          <w:rFonts w:ascii="仿宋" w:hAnsi="仿宋" w:eastAsia="仿宋" w:cs="仿宋"/>
          <w:b/>
          <w:bCs/>
          <w:color w:val="auto"/>
          <w:sz w:val="32"/>
          <w:szCs w:val="32"/>
          <w:highlight w:val="none"/>
        </w:rPr>
      </w:pPr>
      <w:bookmarkStart w:id="121" w:name="_Toc17288"/>
      <w:bookmarkStart w:id="122" w:name="_Toc1032"/>
      <w:bookmarkStart w:id="123" w:name="_Toc19823"/>
      <w:bookmarkStart w:id="124" w:name="_Toc20154"/>
      <w:bookmarkStart w:id="125" w:name="_Toc31233"/>
      <w:r>
        <w:rPr>
          <w:rFonts w:hint="eastAsia" w:ascii="仿宋" w:hAnsi="仿宋" w:eastAsia="仿宋" w:cs="仿宋"/>
          <w:b/>
          <w:bCs/>
          <w:color w:val="auto"/>
          <w:sz w:val="32"/>
          <w:szCs w:val="32"/>
          <w:highlight w:val="none"/>
        </w:rPr>
        <w:t>五、报价要求：</w:t>
      </w:r>
    </w:p>
    <w:bookmarkEnd w:id="121"/>
    <w:bookmarkEnd w:id="122"/>
    <w:bookmarkEnd w:id="123"/>
    <w:bookmarkEnd w:id="124"/>
    <w:bookmarkEnd w:id="125"/>
    <w:p w14:paraId="0B40378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表上的价格为含税报价，本项目报价为固定总价，磋商报价应包括竞争性磋商文件所确定的采购范围相应服务费用，包括但不限于：人员工资、社保、各项保险、日常管理、耗材、福利、税金、第三方系统改造的接口费等，政策性文件规定及合同包含的所有风险、责任等各项应有费用，以及为完成该项服务项目所涉及到的一切相关费用，采购人不再支付其他任何费用。</w:t>
      </w:r>
    </w:p>
    <w:p w14:paraId="29203AD6">
      <w:pPr>
        <w:tabs>
          <w:tab w:val="left" w:pos="900"/>
        </w:tabs>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六、付款方式：</w:t>
      </w:r>
    </w:p>
    <w:p w14:paraId="52C5872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合同签署后，软件完全交付并上线正式运行，经采购人验收合格后，支付合同总额的90%；待质保期满后，一次性付清10%余款。</w:t>
      </w:r>
    </w:p>
    <w:p w14:paraId="656D30D0">
      <w:pPr>
        <w:tabs>
          <w:tab w:val="left" w:pos="266"/>
        </w:tabs>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七、项目预算价、最高限价：</w:t>
      </w:r>
    </w:p>
    <w:p w14:paraId="507B8E6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预算金额：人民币46.5万</w:t>
      </w:r>
    </w:p>
    <w:p w14:paraId="6FE5CC6E">
      <w:pPr>
        <w:spacing w:line="360" w:lineRule="auto"/>
        <w:ind w:firstLine="4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最高限价：人民币46.5万，供应商的报价不得高于最高限价，否则作为无效响应处理。</w:t>
      </w:r>
    </w:p>
    <w:p w14:paraId="1C22E447">
      <w:pPr>
        <w:jc w:val="left"/>
        <w:rPr>
          <w:rFonts w:ascii="仿宋" w:hAnsi="仿宋" w:eastAsia="仿宋"/>
          <w:b/>
          <w:color w:val="auto"/>
          <w:sz w:val="44"/>
          <w:szCs w:val="21"/>
          <w:highlight w:val="none"/>
        </w:rPr>
      </w:pPr>
      <w:r>
        <w:rPr>
          <w:rFonts w:hint="eastAsia" w:ascii="仿宋" w:hAnsi="仿宋" w:eastAsia="仿宋"/>
          <w:b/>
          <w:color w:val="auto"/>
          <w:sz w:val="44"/>
          <w:szCs w:val="21"/>
          <w:highlight w:val="none"/>
        </w:rPr>
        <w:br w:type="page"/>
      </w:r>
    </w:p>
    <w:p w14:paraId="35BCC358">
      <w:pPr>
        <w:spacing w:line="360" w:lineRule="auto"/>
        <w:jc w:val="center"/>
        <w:outlineLvl w:val="0"/>
        <w:rPr>
          <w:rFonts w:ascii="仿宋" w:hAnsi="仿宋" w:eastAsia="仿宋"/>
          <w:b/>
          <w:color w:val="auto"/>
          <w:sz w:val="44"/>
          <w:szCs w:val="21"/>
          <w:highlight w:val="none"/>
        </w:rPr>
      </w:pPr>
      <w:r>
        <w:rPr>
          <w:rFonts w:hint="eastAsia" w:ascii="仿宋" w:hAnsi="仿宋" w:eastAsia="仿宋"/>
          <w:b/>
          <w:color w:val="auto"/>
          <w:sz w:val="44"/>
          <w:szCs w:val="21"/>
          <w:highlight w:val="none"/>
        </w:rPr>
        <w:t>第四章  合同主要条款</w:t>
      </w:r>
    </w:p>
    <w:p w14:paraId="68C42558">
      <w:pPr>
        <w:spacing w:line="440" w:lineRule="exact"/>
        <w:rPr>
          <w:rFonts w:ascii="仿宋_GB2312" w:hAnsi="仿宋" w:eastAsia="仿宋_GB2312"/>
          <w:color w:val="auto"/>
          <w:sz w:val="24"/>
          <w:highlight w:val="none"/>
        </w:rPr>
      </w:pPr>
    </w:p>
    <w:p w14:paraId="54431BA2">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合同编号：                    </w:t>
      </w:r>
    </w:p>
    <w:p w14:paraId="1D82B27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签约地点：溧阳                          签约时间：</w:t>
      </w:r>
    </w:p>
    <w:tbl>
      <w:tblPr>
        <w:tblStyle w:val="22"/>
        <w:tblW w:w="0" w:type="auto"/>
        <w:tblInd w:w="108" w:type="dxa"/>
        <w:tblLayout w:type="fixed"/>
        <w:tblCellMar>
          <w:top w:w="0" w:type="dxa"/>
          <w:left w:w="108" w:type="dxa"/>
          <w:bottom w:w="0" w:type="dxa"/>
          <w:right w:w="108" w:type="dxa"/>
        </w:tblCellMar>
      </w:tblPr>
      <w:tblGrid>
        <w:gridCol w:w="4680"/>
        <w:gridCol w:w="4680"/>
      </w:tblGrid>
      <w:tr w14:paraId="5C4D142C">
        <w:tblPrEx>
          <w:tblCellMar>
            <w:top w:w="0" w:type="dxa"/>
            <w:left w:w="108" w:type="dxa"/>
            <w:bottom w:w="0" w:type="dxa"/>
            <w:right w:w="108" w:type="dxa"/>
          </w:tblCellMar>
        </w:tblPrEx>
        <w:trPr>
          <w:trHeight w:val="470" w:hRule="atLeast"/>
        </w:trPr>
        <w:tc>
          <w:tcPr>
            <w:tcW w:w="4680" w:type="dxa"/>
            <w:tcBorders>
              <w:top w:val="nil"/>
              <w:left w:val="nil"/>
              <w:bottom w:val="nil"/>
              <w:right w:val="nil"/>
            </w:tcBorders>
          </w:tcPr>
          <w:p w14:paraId="25BC689E">
            <w:pPr>
              <w:spacing w:line="440" w:lineRule="exact"/>
              <w:ind w:left="-28" w:leftChars="-51" w:hanging="79" w:hangingChars="33"/>
              <w:rPr>
                <w:rFonts w:ascii="仿宋_GB2312" w:hAnsi="仿宋" w:eastAsia="仿宋_GB2312"/>
                <w:color w:val="auto"/>
                <w:sz w:val="24"/>
                <w:highlight w:val="none"/>
              </w:rPr>
            </w:pPr>
            <w:r>
              <w:rPr>
                <w:rFonts w:hint="eastAsia" w:ascii="仿宋_GB2312" w:hAnsi="仿宋" w:eastAsia="仿宋_GB2312"/>
                <w:color w:val="auto"/>
                <w:sz w:val="24"/>
                <w:highlight w:val="none"/>
              </w:rPr>
              <w:t>甲方（以下称甲方）</w:t>
            </w:r>
          </w:p>
        </w:tc>
        <w:tc>
          <w:tcPr>
            <w:tcW w:w="4680" w:type="dxa"/>
            <w:tcBorders>
              <w:top w:val="nil"/>
              <w:left w:val="nil"/>
              <w:bottom w:val="nil"/>
              <w:right w:val="nil"/>
            </w:tcBorders>
          </w:tcPr>
          <w:p w14:paraId="667AC67B">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乙方：（以下称乙方）</w:t>
            </w:r>
          </w:p>
        </w:tc>
      </w:tr>
      <w:tr w14:paraId="08C161AF">
        <w:tblPrEx>
          <w:tblCellMar>
            <w:top w:w="0" w:type="dxa"/>
            <w:left w:w="108" w:type="dxa"/>
            <w:bottom w:w="0" w:type="dxa"/>
            <w:right w:w="108" w:type="dxa"/>
          </w:tblCellMar>
        </w:tblPrEx>
        <w:tc>
          <w:tcPr>
            <w:tcW w:w="4680" w:type="dxa"/>
            <w:tcBorders>
              <w:top w:val="nil"/>
              <w:left w:val="nil"/>
              <w:bottom w:val="nil"/>
              <w:right w:val="nil"/>
            </w:tcBorders>
          </w:tcPr>
          <w:p w14:paraId="20097E1E">
            <w:pPr>
              <w:spacing w:line="440" w:lineRule="exact"/>
              <w:ind w:left="-107" w:leftChars="-51"/>
              <w:rPr>
                <w:rFonts w:ascii="仿宋_GB2312" w:hAnsi="仿宋" w:eastAsia="仿宋_GB2312"/>
                <w:color w:val="auto"/>
                <w:sz w:val="24"/>
                <w:highlight w:val="none"/>
              </w:rPr>
            </w:pPr>
            <w:r>
              <w:rPr>
                <w:rFonts w:hint="eastAsia" w:ascii="仿宋_GB2312" w:hAnsi="仿宋" w:eastAsia="仿宋_GB2312"/>
                <w:color w:val="auto"/>
                <w:sz w:val="24"/>
                <w:highlight w:val="none"/>
              </w:rPr>
              <w:t>住所地：</w:t>
            </w:r>
          </w:p>
        </w:tc>
        <w:tc>
          <w:tcPr>
            <w:tcW w:w="4680" w:type="dxa"/>
            <w:tcBorders>
              <w:top w:val="nil"/>
              <w:left w:val="nil"/>
              <w:bottom w:val="nil"/>
              <w:right w:val="nil"/>
            </w:tcBorders>
          </w:tcPr>
          <w:p w14:paraId="2C873BB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住所地：</w:t>
            </w:r>
          </w:p>
        </w:tc>
      </w:tr>
    </w:tbl>
    <w:p w14:paraId="0D4CD721">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根据《中华人民共和国民法典》等法律法规的规定，甲乙双方按照招标结果签订本合同。</w:t>
      </w:r>
    </w:p>
    <w:p w14:paraId="3062188E">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溧阳市人民医院一站式预约管理平台项目，本次申请建设的一站式预约管理系统，能够将医院各检查科室检查项目进行统一管理，通过诊间预约、预约中心预约（集中预约）、自助预约、手机预约、全自动预约等多种方式，采用动态规划算法、运筹学最短路径等算法自动规划预约时间，使患者可以在最短的时间内完成预约、检查，实现资源利用与管理。</w:t>
      </w:r>
    </w:p>
    <w:p w14:paraId="2D977B29">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一、项目概况</w:t>
      </w:r>
    </w:p>
    <w:p w14:paraId="0E95371D">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 项目编号：</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14:paraId="40C28D13">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 项目名称：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xml:space="preserve"> 。</w:t>
      </w:r>
    </w:p>
    <w:p w14:paraId="5716C2FA">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 具体内容：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xml:space="preserve"> 。</w:t>
      </w:r>
    </w:p>
    <w:p w14:paraId="59038D18">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 合同金额：人民币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元(大写：</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xml:space="preserve"> )。</w:t>
      </w:r>
    </w:p>
    <w:p w14:paraId="4A8514CB">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二、付款方式</w:t>
      </w:r>
    </w:p>
    <w:p w14:paraId="4276002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合同签署后，软件完全交付并上线正式运行，经</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验收合格后，支付合同总额的90%；待质保期满后，一次性付清10%余款。</w:t>
      </w:r>
    </w:p>
    <w:p w14:paraId="27AC6183">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三、合同履约期限、质保期、承包方式：</w:t>
      </w:r>
    </w:p>
    <w:p w14:paraId="7CF0A7A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合同履约期限：合同签订后100个日历</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调试完毕，验收合格，交付甲方正常使用。</w:t>
      </w:r>
    </w:p>
    <w:p w14:paraId="4C03AE53">
      <w:pPr>
        <w:tabs>
          <w:tab w:val="left" w:pos="900"/>
        </w:tabs>
        <w:spacing w:line="360" w:lineRule="auto"/>
        <w:ind w:firstLine="480" w:firstLineChars="200"/>
        <w:jc w:val="left"/>
        <w:rPr>
          <w:rFonts w:ascii="仿宋" w:hAnsi="仿宋" w:eastAsia="仿宋"/>
          <w:b/>
          <w:bCs/>
          <w:color w:val="auto"/>
          <w:sz w:val="32"/>
          <w:szCs w:val="32"/>
          <w:highlight w:val="none"/>
        </w:rPr>
      </w:pPr>
      <w:r>
        <w:rPr>
          <w:rFonts w:hint="eastAsia" w:ascii="仿宋" w:hAnsi="仿宋" w:eastAsia="仿宋" w:cs="仿宋"/>
          <w:color w:val="auto"/>
          <w:sz w:val="24"/>
          <w:highlight w:val="none"/>
        </w:rPr>
        <w:t>质保期：软件为自验收合格之日起 2 年</w:t>
      </w:r>
    </w:p>
    <w:p w14:paraId="7AB63D4A">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承包方式：固定总价包干</w:t>
      </w:r>
    </w:p>
    <w:p w14:paraId="37C74A46">
      <w:pPr>
        <w:numPr>
          <w:ilvl w:val="0"/>
          <w:numId w:val="3"/>
        </w:numPr>
        <w:spacing w:line="440" w:lineRule="exact"/>
        <w:ind w:firstLine="482" w:firstLineChars="200"/>
        <w:rPr>
          <w:rFonts w:hint="default" w:ascii="仿宋_GB2312" w:hAnsi="仿宋" w:eastAsia="仿宋_GB2312"/>
          <w:b/>
          <w:bCs/>
          <w:color w:val="auto"/>
          <w:sz w:val="24"/>
          <w:highlight w:val="none"/>
          <w:lang w:val="en-US" w:eastAsia="zh-CN"/>
        </w:rPr>
      </w:pPr>
      <w:r>
        <w:rPr>
          <w:rFonts w:hint="eastAsia" w:ascii="仿宋_GB2312" w:hAnsi="仿宋" w:eastAsia="仿宋_GB2312"/>
          <w:b/>
          <w:bCs/>
          <w:color w:val="auto"/>
          <w:sz w:val="24"/>
          <w:highlight w:val="none"/>
        </w:rPr>
        <w:t>项目要求</w:t>
      </w:r>
      <w:r>
        <w:rPr>
          <w:rFonts w:hint="eastAsia" w:ascii="仿宋_GB2312" w:hAnsi="仿宋" w:eastAsia="仿宋_GB2312"/>
          <w:b/>
          <w:bCs/>
          <w:color w:val="auto"/>
          <w:sz w:val="24"/>
          <w:highlight w:val="none"/>
          <w:lang w:eastAsia="zh-CN"/>
        </w:rPr>
        <w:t>：</w:t>
      </w:r>
      <w:r>
        <w:rPr>
          <w:rFonts w:hint="eastAsia" w:ascii="仿宋_GB2312" w:hAnsi="仿宋" w:eastAsia="仿宋_GB2312"/>
          <w:b w:val="0"/>
          <w:bCs w:val="0"/>
          <w:color w:val="auto"/>
          <w:sz w:val="24"/>
          <w:highlight w:val="none"/>
          <w:lang w:val="en-US" w:eastAsia="zh-CN"/>
        </w:rPr>
        <w:t>详见采购文件</w:t>
      </w:r>
    </w:p>
    <w:p w14:paraId="49077BAF">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五、其他服务</w:t>
      </w:r>
    </w:p>
    <w:p w14:paraId="32B6B539">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严格遵守售后服务承诺，服务过程中出现任何问题，甲方与乙方联系，乙方在接到电话后</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xml:space="preserve"> （时间）内到达现场提供现场服务。</w:t>
      </w:r>
    </w:p>
    <w:p w14:paraId="3C42AAD6">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有关内容如下：</w:t>
      </w:r>
    </w:p>
    <w:p w14:paraId="5DDBE60F">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 提供完整的检测计划，服务过程中遇到问题及时向甲方汇总汇报。</w:t>
      </w:r>
    </w:p>
    <w:p w14:paraId="5DE662B9">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 乙方在响应文件中的其它服务承诺。</w:t>
      </w:r>
    </w:p>
    <w:p w14:paraId="57F88D38">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六、相关权利及义务</w:t>
      </w:r>
    </w:p>
    <w:p w14:paraId="1886912D">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 甲方和见证方在验收时对不符合竞争性磋商文件要求的内容有权拒绝接收和追究违约责任。</w:t>
      </w:r>
    </w:p>
    <w:p w14:paraId="6B7E6E2F">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 见证方有权监督乙方的服务，并对乙方的服务不符合响应文件承诺内容时加以指出乃至追究合同责任。</w:t>
      </w:r>
    </w:p>
    <w:p w14:paraId="5FCEF719">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 甲方、见证方在合同规定期限内协助履行付款责任。</w:t>
      </w:r>
    </w:p>
    <w:p w14:paraId="6F458369">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 甲方、见证方对乙方的技术及商业机密予以保密。</w:t>
      </w:r>
    </w:p>
    <w:p w14:paraId="53E02086">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 乙方有权按照合同要求及时支付相应合同款项。</w:t>
      </w:r>
    </w:p>
    <w:p w14:paraId="634FE943">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 乙方有义务按响应文件中的检测服务承诺提供良好的服务。</w:t>
      </w:r>
    </w:p>
    <w:p w14:paraId="53102E81">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七、违约责任</w:t>
      </w:r>
    </w:p>
    <w:p w14:paraId="373552ED">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甲乙双方均应遵守本合同，如有违约，将赔偿因违约给对方造成的经济损失，并向对方支付本合同总额5%的违约金。若因乙方原因在合同规定期限内无法履约，甲方有权终止合同，并请示政府采购监管部门取消其中标资格，甲方还将视情况在延迟服务期内每天按合同总额3‰的标准收取违约金，并提请采购监管部门将其列入不良行为记录。因不可抗拒力所导致的交货及付款延迟等按照《中华人民共和国民法典》有关条文及本合同第八条处理。</w:t>
      </w:r>
    </w:p>
    <w:p w14:paraId="5A313B21">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2.乙方应严格遵守服务承诺，如有违约，将赔偿因服务违约给甲方造成的经济损失。若因乙方未按承诺的响应及到场服务，追究服务违约的相关责任。</w:t>
      </w:r>
    </w:p>
    <w:p w14:paraId="1D261F4A">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八、不可抗力</w:t>
      </w:r>
    </w:p>
    <w:p w14:paraId="5C0ABBE2">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甲方由于不可抗力的原因不能履行合同时，应及时向乙方和见证方通报不能履行或不能完全履行的理由；乙方由于不可抗力的原因不能履行合同时，应在服务时间到期以前及时向甲方和见证方通报不能履行或不能完全履行的理由；在取得有关主管机关证明以后，可以签订延期履行、部分履行补充合同或者不履行合同，并根据情况可部分或全部免予承担违约责任。</w:t>
      </w:r>
    </w:p>
    <w:p w14:paraId="1286891A">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九、争议</w:t>
      </w:r>
    </w:p>
    <w:p w14:paraId="4B35AB56">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双方本着友好合作的态度，对合同履行过程中发生的违约行为进行及时的协商解决，如不能协商解决可向合同签约地法院通过法律诉讼解决。</w:t>
      </w:r>
    </w:p>
    <w:p w14:paraId="557C9B92">
      <w:pPr>
        <w:spacing w:line="440" w:lineRule="exact"/>
        <w:ind w:firstLine="482" w:firstLineChars="200"/>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十、其它</w:t>
      </w:r>
    </w:p>
    <w:p w14:paraId="58384F24">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1.本合同一式伍份，甲方、乙方各执贰份、见证常州中宇建设工程管理有限公司执一份。</w:t>
      </w:r>
    </w:p>
    <w:p w14:paraId="155B1995">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2.本合同自签订之日起生效。</w:t>
      </w:r>
    </w:p>
    <w:p w14:paraId="0327F14F">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3.本项目的竞争性磋商文件、响应文件等是本合同的附件，与合同具有同等的法律效力。</w:t>
      </w:r>
    </w:p>
    <w:p w14:paraId="65BD85DB">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4.其它未尽事宜，由双方友好协商解决，并参照《中华人民共和国民法典》有关条款执行。</w:t>
      </w:r>
    </w:p>
    <w:p w14:paraId="6CD5EBAD">
      <w:pPr>
        <w:spacing w:line="440" w:lineRule="exact"/>
        <w:rPr>
          <w:rFonts w:ascii="仿宋_GB2312" w:hAnsi="仿宋" w:eastAsia="仿宋_GB2312"/>
          <w:color w:val="auto"/>
          <w:sz w:val="24"/>
          <w:highlight w:val="none"/>
        </w:rPr>
      </w:pPr>
    </w:p>
    <w:p w14:paraId="11F39B4F">
      <w:pPr>
        <w:spacing w:line="440" w:lineRule="exact"/>
        <w:rPr>
          <w:rFonts w:ascii="仿宋_GB2312" w:hAnsi="仿宋" w:eastAsia="仿宋_GB2312"/>
          <w:color w:val="auto"/>
          <w:sz w:val="24"/>
          <w:highlight w:val="none"/>
        </w:rPr>
      </w:pPr>
    </w:p>
    <w:p w14:paraId="16DD352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甲方（印章）：                  乙方（印章）：</w:t>
      </w:r>
    </w:p>
    <w:p w14:paraId="2CA76FF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甲方法人（签字）：              乙方法人（签字）：</w:t>
      </w:r>
    </w:p>
    <w:p w14:paraId="1D7EA862">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甲方代表（签字）：              乙方代表（签字）：</w:t>
      </w:r>
    </w:p>
    <w:p w14:paraId="19602FF5">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地址：                         地址：</w:t>
      </w:r>
    </w:p>
    <w:p w14:paraId="529D8A1C">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电话：                         电话：</w:t>
      </w:r>
    </w:p>
    <w:p w14:paraId="7D5F2E18">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开户账号：                     开户账号：</w:t>
      </w:r>
    </w:p>
    <w:p w14:paraId="61C7E42F">
      <w:pPr>
        <w:spacing w:line="440" w:lineRule="exact"/>
        <w:rPr>
          <w:rFonts w:ascii="仿宋_GB2312" w:hAnsi="仿宋" w:eastAsia="仿宋_GB2312"/>
          <w:color w:val="auto"/>
          <w:sz w:val="24"/>
          <w:highlight w:val="none"/>
        </w:rPr>
      </w:pPr>
    </w:p>
    <w:p w14:paraId="301B5344">
      <w:pPr>
        <w:spacing w:line="440" w:lineRule="exact"/>
        <w:rPr>
          <w:rFonts w:ascii="仿宋" w:hAnsi="仿宋" w:eastAsia="仿宋"/>
          <w:color w:val="auto"/>
          <w:sz w:val="24"/>
          <w:highlight w:val="none"/>
        </w:rPr>
      </w:pPr>
      <w:r>
        <w:rPr>
          <w:rFonts w:hint="eastAsia" w:ascii="仿宋_GB2312" w:hAnsi="仿宋" w:eastAsia="仿宋_GB2312"/>
          <w:color w:val="auto"/>
          <w:sz w:val="24"/>
          <w:highlight w:val="none"/>
        </w:rPr>
        <w:t>日 期：     年    月   日</w:t>
      </w:r>
      <w:r>
        <w:rPr>
          <w:rFonts w:hint="eastAsia" w:ascii="宋体" w:hAnsi="宋体"/>
          <w:color w:val="auto"/>
          <w:sz w:val="24"/>
          <w:highlight w:val="none"/>
        </w:rPr>
        <w:t xml:space="preserve">                      </w:t>
      </w:r>
    </w:p>
    <w:p w14:paraId="555CEA6C">
      <w:pPr>
        <w:spacing w:line="480" w:lineRule="auto"/>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采购代理机构：常州中宇建设工程管理有限公司</w:t>
      </w:r>
    </w:p>
    <w:p w14:paraId="264D7BD4">
      <w:pPr>
        <w:pStyle w:val="30"/>
        <w:rPr>
          <w:color w:val="auto"/>
          <w:highlight w:val="none"/>
        </w:rPr>
      </w:pPr>
    </w:p>
    <w:p w14:paraId="786A4126">
      <w:pPr>
        <w:spacing w:line="480" w:lineRule="auto"/>
        <w:jc w:val="left"/>
        <w:outlineLvl w:val="0"/>
        <w:rPr>
          <w:rFonts w:ascii="仿宋" w:hAnsi="仿宋" w:eastAsia="仿宋"/>
          <w:b/>
          <w:color w:val="auto"/>
          <w:sz w:val="44"/>
          <w:szCs w:val="21"/>
          <w:highlight w:val="none"/>
        </w:rPr>
      </w:pPr>
      <w:r>
        <w:rPr>
          <w:rFonts w:hint="eastAsia" w:ascii="仿宋" w:hAnsi="仿宋" w:eastAsia="仿宋" w:cs="仿宋"/>
          <w:b/>
          <w:bCs/>
          <w:color w:val="auto"/>
          <w:sz w:val="24"/>
          <w:highlight w:val="none"/>
        </w:rPr>
        <w:t>注：上述格式及内容仅供参考，具体以甲乙双方签订合同时内容为准。</w:t>
      </w:r>
    </w:p>
    <w:p w14:paraId="3BC2B953">
      <w:pPr>
        <w:snapToGrid w:val="0"/>
        <w:spacing w:line="360" w:lineRule="auto"/>
        <w:jc w:val="center"/>
        <w:rPr>
          <w:rFonts w:ascii="仿宋" w:hAnsi="仿宋" w:eastAsia="仿宋"/>
          <w:b/>
          <w:color w:val="auto"/>
          <w:sz w:val="44"/>
          <w:szCs w:val="21"/>
          <w:highlight w:val="none"/>
        </w:rPr>
      </w:pPr>
    </w:p>
    <w:p w14:paraId="78FCB006">
      <w:pPr>
        <w:snapToGrid w:val="0"/>
        <w:spacing w:line="360" w:lineRule="auto"/>
        <w:jc w:val="center"/>
        <w:rPr>
          <w:rFonts w:ascii="仿宋" w:hAnsi="仿宋" w:eastAsia="仿宋"/>
          <w:b/>
          <w:color w:val="auto"/>
          <w:sz w:val="44"/>
          <w:szCs w:val="21"/>
          <w:highlight w:val="none"/>
        </w:rPr>
      </w:pPr>
    </w:p>
    <w:p w14:paraId="5F7228D6">
      <w:pPr>
        <w:jc w:val="left"/>
        <w:rPr>
          <w:color w:val="auto"/>
          <w:highlight w:val="none"/>
        </w:rPr>
      </w:pPr>
      <w:r>
        <w:rPr>
          <w:rFonts w:hint="eastAsia" w:ascii="仿宋" w:hAnsi="仿宋" w:eastAsia="仿宋"/>
          <w:b/>
          <w:color w:val="auto"/>
          <w:sz w:val="44"/>
          <w:szCs w:val="21"/>
          <w:highlight w:val="none"/>
        </w:rPr>
        <w:br w:type="page"/>
      </w:r>
    </w:p>
    <w:p w14:paraId="3EF2DA57">
      <w:pPr>
        <w:snapToGrid w:val="0"/>
        <w:spacing w:line="360" w:lineRule="auto"/>
        <w:jc w:val="center"/>
        <w:rPr>
          <w:rFonts w:ascii="仿宋" w:hAnsi="仿宋" w:eastAsia="仿宋"/>
          <w:b/>
          <w:color w:val="auto"/>
          <w:sz w:val="44"/>
          <w:szCs w:val="21"/>
          <w:highlight w:val="none"/>
        </w:rPr>
      </w:pPr>
      <w:r>
        <w:rPr>
          <w:rFonts w:hint="eastAsia" w:ascii="仿宋" w:hAnsi="仿宋" w:eastAsia="仿宋"/>
          <w:b/>
          <w:color w:val="auto"/>
          <w:sz w:val="44"/>
          <w:szCs w:val="21"/>
          <w:highlight w:val="none"/>
        </w:rPr>
        <w:t>第五章  评标方法与评标标准</w:t>
      </w:r>
    </w:p>
    <w:p w14:paraId="0E2184AB">
      <w:pPr>
        <w:keepNext/>
        <w:keepLines/>
        <w:tabs>
          <w:tab w:val="left" w:pos="576"/>
        </w:tabs>
        <w:adjustRightInd w:val="0"/>
        <w:spacing w:before="260" w:after="260" w:line="360" w:lineRule="auto"/>
        <w:textAlignment w:val="baseline"/>
        <w:outlineLvl w:val="1"/>
        <w:rPr>
          <w:rFonts w:ascii="仿宋" w:hAnsi="仿宋" w:eastAsia="仿宋"/>
          <w:b/>
          <w:bCs/>
          <w:color w:val="auto"/>
          <w:sz w:val="32"/>
          <w:szCs w:val="32"/>
          <w:highlight w:val="none"/>
        </w:rPr>
      </w:pPr>
      <w:bookmarkStart w:id="126" w:name="_Toc401414769"/>
      <w:r>
        <w:rPr>
          <w:rFonts w:hint="eastAsia" w:ascii="仿宋" w:hAnsi="仿宋" w:eastAsia="仿宋"/>
          <w:b/>
          <w:bCs/>
          <w:color w:val="auto"/>
          <w:sz w:val="32"/>
          <w:szCs w:val="32"/>
          <w:highlight w:val="none"/>
        </w:rPr>
        <w:t>一、评标方法与定标原则</w:t>
      </w:r>
    </w:p>
    <w:p w14:paraId="49B5432B">
      <w:pPr>
        <w:spacing w:line="360" w:lineRule="auto"/>
        <w:ind w:firstLine="480" w:firstLineChars="200"/>
        <w:jc w:val="left"/>
        <w:rPr>
          <w:rFonts w:ascii="仿宋" w:hAnsi="仿宋" w:eastAsia="仿宋" w:cs="仿宋"/>
          <w:bCs/>
          <w:color w:val="auto"/>
          <w:sz w:val="24"/>
          <w:highlight w:val="none"/>
        </w:rPr>
      </w:pPr>
      <w:r>
        <w:rPr>
          <w:rFonts w:ascii="仿宋" w:hAnsi="仿宋" w:eastAsia="仿宋"/>
          <w:bCs/>
          <w:color w:val="auto"/>
          <w:sz w:val="24"/>
          <w:highlight w:val="none"/>
        </w:rPr>
        <w:t>本项目评</w:t>
      </w:r>
      <w:r>
        <w:rPr>
          <w:rFonts w:hint="eastAsia" w:ascii="仿宋" w:hAnsi="仿宋" w:eastAsia="仿宋"/>
          <w:bCs/>
          <w:color w:val="auto"/>
          <w:sz w:val="24"/>
          <w:highlight w:val="none"/>
        </w:rPr>
        <w:t>审</w:t>
      </w:r>
      <w:r>
        <w:rPr>
          <w:rFonts w:ascii="仿宋" w:hAnsi="仿宋" w:eastAsia="仿宋"/>
          <w:bCs/>
          <w:color w:val="auto"/>
          <w:sz w:val="24"/>
          <w:highlight w:val="none"/>
        </w:rPr>
        <w:t>采用综合评分法，</w:t>
      </w:r>
      <w:r>
        <w:rPr>
          <w:rFonts w:hint="eastAsia" w:ascii="仿宋" w:hAnsi="仿宋" w:eastAsia="仿宋"/>
          <w:bCs/>
          <w:color w:val="auto"/>
          <w:sz w:val="24"/>
          <w:highlight w:val="none"/>
        </w:rPr>
        <w:t>磋商小组</w:t>
      </w:r>
      <w:r>
        <w:rPr>
          <w:rFonts w:ascii="仿宋" w:hAnsi="仿宋" w:eastAsia="仿宋"/>
          <w:bCs/>
          <w:color w:val="auto"/>
          <w:sz w:val="24"/>
          <w:highlight w:val="none"/>
        </w:rPr>
        <w:t>在响应文件最大限度地满足磋商文件中实质性要求前提下，按照磋商文件中规定的</w:t>
      </w:r>
      <w:r>
        <w:rPr>
          <w:rFonts w:hint="eastAsia" w:ascii="仿宋" w:hAnsi="仿宋" w:eastAsia="仿宋"/>
          <w:bCs/>
          <w:color w:val="auto"/>
          <w:sz w:val="24"/>
          <w:highlight w:val="none"/>
        </w:rPr>
        <w:t>磋商小组</w:t>
      </w:r>
      <w:r>
        <w:rPr>
          <w:rFonts w:ascii="仿宋" w:hAnsi="仿宋" w:eastAsia="仿宋"/>
          <w:bCs/>
          <w:color w:val="auto"/>
          <w:sz w:val="24"/>
          <w:highlight w:val="none"/>
        </w:rPr>
        <w:t>评分部分各项因素，独立对每个有效供应商的响应文件进行评审</w:t>
      </w:r>
      <w:r>
        <w:rPr>
          <w:rFonts w:hint="eastAsia" w:ascii="仿宋" w:hAnsi="仿宋" w:eastAsia="仿宋"/>
          <w:bCs/>
          <w:color w:val="auto"/>
          <w:sz w:val="24"/>
          <w:highlight w:val="none"/>
        </w:rPr>
        <w:t>，</w:t>
      </w:r>
      <w:r>
        <w:rPr>
          <w:rFonts w:ascii="仿宋" w:hAnsi="仿宋" w:eastAsia="仿宋"/>
          <w:bCs/>
          <w:color w:val="auto"/>
          <w:sz w:val="24"/>
          <w:highlight w:val="none"/>
        </w:rPr>
        <w:t>各</w:t>
      </w:r>
      <w:r>
        <w:rPr>
          <w:rFonts w:hint="eastAsia" w:ascii="仿宋" w:hAnsi="仿宋" w:eastAsia="仿宋"/>
          <w:bCs/>
          <w:color w:val="auto"/>
          <w:sz w:val="24"/>
          <w:highlight w:val="none"/>
        </w:rPr>
        <w:t>供应商</w:t>
      </w:r>
      <w:r>
        <w:rPr>
          <w:rFonts w:ascii="仿宋" w:hAnsi="仿宋" w:eastAsia="仿宋"/>
          <w:bCs/>
          <w:color w:val="auto"/>
          <w:sz w:val="24"/>
          <w:highlight w:val="none"/>
        </w:rPr>
        <w:t>最终得分为</w:t>
      </w:r>
      <w:r>
        <w:rPr>
          <w:rFonts w:hint="eastAsia" w:ascii="仿宋" w:hAnsi="仿宋" w:eastAsia="仿宋"/>
          <w:bCs/>
          <w:color w:val="auto"/>
          <w:sz w:val="24"/>
          <w:highlight w:val="none"/>
        </w:rPr>
        <w:t>磋商小组</w:t>
      </w:r>
      <w:r>
        <w:rPr>
          <w:rFonts w:ascii="仿宋" w:hAnsi="仿宋" w:eastAsia="仿宋"/>
          <w:bCs/>
          <w:color w:val="auto"/>
          <w:sz w:val="24"/>
          <w:highlight w:val="none"/>
        </w:rPr>
        <w:t>所评定分值的平均值</w:t>
      </w:r>
      <w:r>
        <w:rPr>
          <w:rFonts w:hint="eastAsia" w:ascii="仿宋" w:hAnsi="仿宋" w:eastAsia="仿宋"/>
          <w:bCs/>
          <w:color w:val="auto"/>
          <w:sz w:val="24"/>
          <w:highlight w:val="none"/>
        </w:rPr>
        <w:t>,磋商小组成员评分及平均值计算均</w:t>
      </w:r>
      <w:r>
        <w:rPr>
          <w:rFonts w:ascii="仿宋" w:hAnsi="仿宋" w:eastAsia="仿宋"/>
          <w:bCs/>
          <w:color w:val="auto"/>
          <w:sz w:val="24"/>
          <w:highlight w:val="none"/>
        </w:rPr>
        <w:t>保留</w:t>
      </w:r>
      <w:r>
        <w:rPr>
          <w:rFonts w:hint="eastAsia" w:ascii="仿宋" w:hAnsi="仿宋" w:eastAsia="仿宋"/>
          <w:bCs/>
          <w:color w:val="auto"/>
          <w:sz w:val="24"/>
          <w:highlight w:val="none"/>
        </w:rPr>
        <w:t>两位小数</w:t>
      </w:r>
      <w:r>
        <w:rPr>
          <w:rFonts w:ascii="仿宋" w:hAnsi="仿宋" w:eastAsia="仿宋"/>
          <w:bCs/>
          <w:color w:val="auto"/>
          <w:sz w:val="24"/>
          <w:highlight w:val="none"/>
        </w:rPr>
        <w:t>。</w:t>
      </w:r>
    </w:p>
    <w:p w14:paraId="2BCA4A51">
      <w:pPr>
        <w:spacing w:line="360" w:lineRule="auto"/>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磋商小组按评审后最终综合得分由高到低顺序排列名次，并推荐出成交供应商。如得分相同的，按最终报价由低到高顺序推荐成交供应商。得分且最终报价相同的，</w:t>
      </w:r>
      <w:r>
        <w:rPr>
          <w:rFonts w:hint="eastAsia" w:ascii="仿宋" w:hAnsi="仿宋" w:eastAsia="仿宋" w:cs="仿宋"/>
          <w:bCs/>
          <w:color w:val="auto"/>
          <w:sz w:val="24"/>
          <w:highlight w:val="none"/>
        </w:rPr>
        <w:t>则以开标签到先后顺序抽签确定成交供应商。</w:t>
      </w:r>
    </w:p>
    <w:p w14:paraId="232CF328">
      <w:pPr>
        <w:keepNext/>
        <w:keepLines/>
        <w:numPr>
          <w:ilvl w:val="0"/>
          <w:numId w:val="4"/>
        </w:numPr>
        <w:tabs>
          <w:tab w:val="left" w:pos="576"/>
        </w:tabs>
        <w:adjustRightInd w:val="0"/>
        <w:spacing w:before="260" w:after="260" w:line="360" w:lineRule="auto"/>
        <w:textAlignment w:val="baseline"/>
        <w:outlineLvl w:val="1"/>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评标标准</w:t>
      </w:r>
    </w:p>
    <w:tbl>
      <w:tblPr>
        <w:tblStyle w:val="22"/>
        <w:tblW w:w="9399"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14"/>
        <w:gridCol w:w="705"/>
        <w:gridCol w:w="4762"/>
        <w:gridCol w:w="1878"/>
      </w:tblGrid>
      <w:tr w14:paraId="3DF9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trPr>
        <w:tc>
          <w:tcPr>
            <w:tcW w:w="740" w:type="dxa"/>
            <w:vAlign w:val="center"/>
          </w:tcPr>
          <w:p w14:paraId="49CE1433">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314" w:type="dxa"/>
            <w:vAlign w:val="center"/>
          </w:tcPr>
          <w:p w14:paraId="4A7469AE">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w:t>
            </w:r>
          </w:p>
        </w:tc>
        <w:tc>
          <w:tcPr>
            <w:tcW w:w="705" w:type="dxa"/>
            <w:vAlign w:val="center"/>
          </w:tcPr>
          <w:p w14:paraId="22D7737E">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tc>
        <w:tc>
          <w:tcPr>
            <w:tcW w:w="4762" w:type="dxa"/>
            <w:vAlign w:val="center"/>
          </w:tcPr>
          <w:p w14:paraId="2EEE1AA2">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c>
          <w:tcPr>
            <w:tcW w:w="1878" w:type="dxa"/>
            <w:vAlign w:val="center"/>
          </w:tcPr>
          <w:p w14:paraId="2904600F">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评标依据</w:t>
            </w:r>
          </w:p>
        </w:tc>
      </w:tr>
      <w:tr w14:paraId="6506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40" w:type="dxa"/>
            <w:vAlign w:val="center"/>
          </w:tcPr>
          <w:p w14:paraId="13E6AA75">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314" w:type="dxa"/>
            <w:vAlign w:val="center"/>
          </w:tcPr>
          <w:p w14:paraId="050FAAEF">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报价</w:t>
            </w:r>
          </w:p>
        </w:tc>
        <w:tc>
          <w:tcPr>
            <w:tcW w:w="705" w:type="dxa"/>
            <w:vAlign w:val="center"/>
          </w:tcPr>
          <w:p w14:paraId="6A4D3E1D">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w:t>
            </w:r>
          </w:p>
        </w:tc>
        <w:tc>
          <w:tcPr>
            <w:tcW w:w="4762" w:type="dxa"/>
            <w:vAlign w:val="center"/>
          </w:tcPr>
          <w:p w14:paraId="6F6756CB">
            <w:pPr>
              <w:widowControl/>
              <w:spacing w:line="40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采用低价优先法计算，即满足采购文件要求且最终最低报价为评标基准价，其价格分为满分。其他供应商的价格分统一按照下列公式计算： 最终报价得分=(评标基准价／最终报价)×价格权值(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0%)×100。</w:t>
            </w:r>
          </w:p>
        </w:tc>
        <w:tc>
          <w:tcPr>
            <w:tcW w:w="1878" w:type="dxa"/>
            <w:vAlign w:val="center"/>
          </w:tcPr>
          <w:p w14:paraId="6461F528">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最终报价</w:t>
            </w:r>
          </w:p>
        </w:tc>
      </w:tr>
      <w:tr w14:paraId="1E99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740" w:type="dxa"/>
            <w:vAlign w:val="center"/>
          </w:tcPr>
          <w:p w14:paraId="433B2A0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314" w:type="dxa"/>
            <w:vAlign w:val="center"/>
          </w:tcPr>
          <w:p w14:paraId="06D8645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技术指标</w:t>
            </w:r>
          </w:p>
        </w:tc>
        <w:tc>
          <w:tcPr>
            <w:tcW w:w="705" w:type="dxa"/>
            <w:vAlign w:val="center"/>
          </w:tcPr>
          <w:p w14:paraId="333EB32C">
            <w:pPr>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24</w:t>
            </w:r>
          </w:p>
        </w:tc>
        <w:tc>
          <w:tcPr>
            <w:tcW w:w="4762" w:type="dxa"/>
            <w:vAlign w:val="center"/>
          </w:tcPr>
          <w:p w14:paraId="094B6593">
            <w:pPr>
              <w:widowControl/>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完全响应本项目采购</w:t>
            </w:r>
            <w:r>
              <w:rPr>
                <w:rFonts w:hint="eastAsia" w:ascii="仿宋" w:hAnsi="仿宋" w:eastAsia="仿宋" w:cs="仿宋"/>
                <w:color w:val="auto"/>
                <w:sz w:val="24"/>
                <w:highlight w:val="none"/>
                <w:lang w:val="zh-CN"/>
              </w:rPr>
              <w:t>需求技术参数并提供有效证明材料（如有要求）的得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4分；采购</w:t>
            </w:r>
            <w:r>
              <w:rPr>
                <w:rFonts w:hint="eastAsia" w:ascii="仿宋" w:hAnsi="仿宋" w:eastAsia="仿宋" w:cs="仿宋"/>
                <w:color w:val="auto"/>
                <w:sz w:val="24"/>
                <w:highlight w:val="none"/>
                <w:lang w:val="zh-CN"/>
              </w:rPr>
              <w:t>需求技术参数中带“▲”项为重要技术参数，每有1项负偏离或未提供有效证明材料（如有要求）的，扣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分；其余为一般技术参数，每有1项负偏离或未提供有效证明材料（如有要求）的，扣</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分，扣完为止。</w:t>
            </w:r>
          </w:p>
        </w:tc>
        <w:tc>
          <w:tcPr>
            <w:tcW w:w="1878" w:type="dxa"/>
            <w:vAlign w:val="center"/>
          </w:tcPr>
          <w:p w14:paraId="559D9B02">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偏离表及技术</w:t>
            </w:r>
            <w:r>
              <w:rPr>
                <w:rFonts w:hint="eastAsia" w:ascii="仿宋" w:hAnsi="仿宋" w:eastAsia="仿宋" w:cs="仿宋"/>
                <w:color w:val="auto"/>
                <w:sz w:val="24"/>
                <w:highlight w:val="none"/>
                <w:lang w:val="zh-CN"/>
              </w:rPr>
              <w:t>证明材料（如有要求）</w:t>
            </w:r>
          </w:p>
        </w:tc>
      </w:tr>
      <w:tr w14:paraId="3287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40" w:type="dxa"/>
            <w:vAlign w:val="center"/>
          </w:tcPr>
          <w:p w14:paraId="7D228A28">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314" w:type="dxa"/>
            <w:vAlign w:val="center"/>
          </w:tcPr>
          <w:p w14:paraId="5069DE2B">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项目业绩</w:t>
            </w:r>
          </w:p>
        </w:tc>
        <w:tc>
          <w:tcPr>
            <w:tcW w:w="705" w:type="dxa"/>
            <w:vAlign w:val="center"/>
          </w:tcPr>
          <w:p w14:paraId="1FCCB8AD">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4762" w:type="dxa"/>
            <w:vAlign w:val="center"/>
          </w:tcPr>
          <w:p w14:paraId="7744557C">
            <w:pPr>
              <w:widowControl/>
              <w:spacing w:line="40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供应商</w:t>
            </w:r>
            <w:r>
              <w:rPr>
                <w:rFonts w:hint="eastAsia" w:ascii="仿宋" w:hAnsi="仿宋" w:eastAsia="仿宋" w:cs="仿宋"/>
                <w:bCs/>
                <w:color w:val="auto"/>
                <w:sz w:val="24"/>
                <w:highlight w:val="none"/>
                <w:lang w:val="zh-CN"/>
              </w:rPr>
              <w:t>具有20</w:t>
            </w:r>
            <w:r>
              <w:rPr>
                <w:rFonts w:hint="eastAsia" w:ascii="仿宋" w:hAnsi="仿宋" w:eastAsia="仿宋" w:cs="仿宋"/>
                <w:bCs/>
                <w:color w:val="auto"/>
                <w:sz w:val="24"/>
                <w:highlight w:val="none"/>
              </w:rPr>
              <w:t>21</w:t>
            </w:r>
            <w:r>
              <w:rPr>
                <w:rFonts w:hint="eastAsia" w:ascii="仿宋" w:hAnsi="仿宋" w:eastAsia="仿宋" w:cs="仿宋"/>
                <w:bCs/>
                <w:color w:val="auto"/>
                <w:sz w:val="24"/>
                <w:highlight w:val="none"/>
                <w:lang w:val="zh-CN"/>
              </w:rPr>
              <w:t>年</w:t>
            </w:r>
            <w:r>
              <w:rPr>
                <w:rFonts w:hint="eastAsia" w:ascii="仿宋" w:hAnsi="仿宋" w:eastAsia="仿宋" w:cs="仿宋"/>
                <w:bCs/>
                <w:color w:val="auto"/>
                <w:sz w:val="24"/>
                <w:highlight w:val="none"/>
              </w:rPr>
              <w:t>12</w:t>
            </w:r>
            <w:r>
              <w:rPr>
                <w:rFonts w:hint="eastAsia" w:ascii="仿宋" w:hAnsi="仿宋" w:eastAsia="仿宋" w:cs="仿宋"/>
                <w:bCs/>
                <w:color w:val="auto"/>
                <w:sz w:val="24"/>
                <w:highlight w:val="none"/>
                <w:lang w:val="zh-CN"/>
              </w:rPr>
              <w:t>月</w:t>
            </w:r>
            <w:r>
              <w:rPr>
                <w:rFonts w:hint="eastAsia" w:ascii="仿宋" w:hAnsi="仿宋" w:eastAsia="仿宋" w:cs="仿宋"/>
                <w:bCs/>
                <w:color w:val="auto"/>
                <w:sz w:val="24"/>
                <w:highlight w:val="none"/>
              </w:rPr>
              <w:t>1日</w:t>
            </w:r>
            <w:r>
              <w:rPr>
                <w:rFonts w:hint="eastAsia" w:ascii="仿宋" w:hAnsi="仿宋" w:eastAsia="仿宋" w:cs="仿宋"/>
                <w:bCs/>
                <w:color w:val="auto"/>
                <w:sz w:val="24"/>
                <w:highlight w:val="none"/>
                <w:lang w:val="zh-CN"/>
              </w:rPr>
              <w:t>至本项目</w:t>
            </w:r>
            <w:r>
              <w:rPr>
                <w:rFonts w:hint="eastAsia" w:ascii="仿宋" w:hAnsi="仿宋" w:eastAsia="仿宋" w:cs="仿宋"/>
                <w:bCs/>
                <w:color w:val="auto"/>
                <w:sz w:val="24"/>
                <w:highlight w:val="none"/>
              </w:rPr>
              <w:t>采购</w:t>
            </w:r>
            <w:r>
              <w:rPr>
                <w:rFonts w:hint="eastAsia" w:ascii="仿宋" w:hAnsi="仿宋" w:eastAsia="仿宋" w:cs="仿宋"/>
                <w:bCs/>
                <w:color w:val="auto"/>
                <w:sz w:val="24"/>
                <w:highlight w:val="none"/>
                <w:lang w:val="zh-CN"/>
              </w:rPr>
              <w:t>公告发布</w:t>
            </w:r>
            <w:r>
              <w:rPr>
                <w:rFonts w:hint="eastAsia" w:ascii="仿宋" w:hAnsi="仿宋" w:eastAsia="仿宋" w:cs="仿宋"/>
                <w:bCs/>
                <w:color w:val="auto"/>
                <w:sz w:val="24"/>
                <w:highlight w:val="none"/>
              </w:rPr>
              <w:t>之日止</w:t>
            </w: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rPr>
              <w:t>已完成类似管理平台项目</w:t>
            </w:r>
            <w:r>
              <w:rPr>
                <w:rFonts w:hint="eastAsia" w:ascii="仿宋" w:hAnsi="仿宋" w:eastAsia="仿宋" w:cs="仿宋"/>
                <w:bCs/>
                <w:color w:val="auto"/>
                <w:sz w:val="24"/>
                <w:highlight w:val="none"/>
                <w:lang w:val="zh-CN"/>
              </w:rPr>
              <w:t>业绩，合同以签订时间为准，每提供1份业绩合同得</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zh-CN"/>
              </w:rPr>
              <w:t>分，同一单位项目不重复得分，最高得</w:t>
            </w:r>
            <w:r>
              <w:rPr>
                <w:rFonts w:hint="eastAsia" w:ascii="仿宋" w:hAnsi="仿宋" w:eastAsia="仿宋" w:cs="仿宋"/>
                <w:bCs/>
                <w:color w:val="auto"/>
                <w:sz w:val="24"/>
                <w:highlight w:val="none"/>
              </w:rPr>
              <w:t>15</w:t>
            </w:r>
            <w:r>
              <w:rPr>
                <w:rFonts w:hint="eastAsia" w:ascii="仿宋" w:hAnsi="仿宋" w:eastAsia="仿宋" w:cs="仿宋"/>
                <w:bCs/>
                <w:color w:val="auto"/>
                <w:sz w:val="24"/>
                <w:highlight w:val="none"/>
                <w:lang w:val="zh-CN"/>
              </w:rPr>
              <w:t>分。</w:t>
            </w:r>
          </w:p>
        </w:tc>
        <w:tc>
          <w:tcPr>
            <w:tcW w:w="1878" w:type="dxa"/>
            <w:vAlign w:val="center"/>
          </w:tcPr>
          <w:p w14:paraId="7F3736E7">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合同证明材料</w:t>
            </w:r>
          </w:p>
        </w:tc>
      </w:tr>
      <w:tr w14:paraId="4883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40" w:type="dxa"/>
            <w:vAlign w:val="center"/>
          </w:tcPr>
          <w:p w14:paraId="5AB162E7">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314" w:type="dxa"/>
            <w:vAlign w:val="center"/>
          </w:tcPr>
          <w:p w14:paraId="08474DC7">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认证体系</w:t>
            </w:r>
          </w:p>
        </w:tc>
        <w:tc>
          <w:tcPr>
            <w:tcW w:w="705" w:type="dxa"/>
            <w:vAlign w:val="center"/>
          </w:tcPr>
          <w:p w14:paraId="60652A03">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4762" w:type="dxa"/>
            <w:vAlign w:val="center"/>
          </w:tcPr>
          <w:p w14:paraId="677B2249">
            <w:pPr>
              <w:widowControl/>
              <w:spacing w:line="400" w:lineRule="exact"/>
              <w:ind w:firstLine="480" w:firstLineChars="200"/>
              <w:jc w:val="left"/>
              <w:rPr>
                <w:rFonts w:ascii="仿宋" w:hAnsi="仿宋" w:eastAsia="仿宋" w:cs="仿宋"/>
                <w:bCs/>
                <w:color w:val="auto"/>
                <w:sz w:val="24"/>
                <w:highlight w:val="none"/>
              </w:rPr>
            </w:pPr>
            <w:r>
              <w:rPr>
                <w:rFonts w:hint="eastAsia" w:ascii="仿宋" w:hAnsi="仿宋" w:eastAsia="仿宋" w:cs="仿宋"/>
                <w:color w:val="auto"/>
                <w:kern w:val="0"/>
                <w:sz w:val="24"/>
                <w:highlight w:val="none"/>
              </w:rPr>
              <w:t>供应商具有有效期内的质量管理体系、环境管理体系认证、职业健康安全管理体系认证证书，有1个得1分，本项最高得3分。</w:t>
            </w:r>
          </w:p>
        </w:tc>
        <w:tc>
          <w:tcPr>
            <w:tcW w:w="1878" w:type="dxa"/>
            <w:vAlign w:val="center"/>
          </w:tcPr>
          <w:p w14:paraId="270316C3">
            <w:pPr>
              <w:widowControl/>
              <w:jc w:val="center"/>
              <w:rPr>
                <w:rFonts w:ascii="仿宋" w:hAnsi="仿宋" w:eastAsia="仿宋" w:cs="仿宋"/>
                <w:color w:val="auto"/>
                <w:kern w:val="0"/>
                <w:sz w:val="24"/>
                <w:highlight w:val="none"/>
              </w:rPr>
            </w:pPr>
            <w:r>
              <w:rPr>
                <w:rFonts w:hint="eastAsia" w:ascii="仿宋" w:hAnsi="仿宋" w:eastAsia="仿宋" w:cs="仿宋"/>
                <w:b/>
                <w:bCs/>
                <w:color w:val="auto"/>
                <w:sz w:val="24"/>
                <w:highlight w:val="none"/>
              </w:rPr>
              <w:t>响应文件中提供相应证书扫复印件及全国认证认可信息公共服务平台查询有效的网页截图，未提供的或资料不全的或无效的不得分。</w:t>
            </w:r>
          </w:p>
        </w:tc>
      </w:tr>
      <w:tr w14:paraId="36A8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3D2FBB89">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314" w:type="dxa"/>
            <w:vAlign w:val="center"/>
          </w:tcPr>
          <w:p w14:paraId="2452E0CE">
            <w:pPr>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项目总体方案</w:t>
            </w:r>
          </w:p>
        </w:tc>
        <w:tc>
          <w:tcPr>
            <w:tcW w:w="705" w:type="dxa"/>
            <w:vAlign w:val="center"/>
          </w:tcPr>
          <w:p w14:paraId="528F7FBA">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4762" w:type="dxa"/>
            <w:vAlign w:val="center"/>
          </w:tcPr>
          <w:p w14:paraId="3246B2B9">
            <w:pPr>
              <w:widowControl/>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w:t>
            </w:r>
            <w:r>
              <w:rPr>
                <w:rFonts w:hint="eastAsia" w:ascii="仿宋" w:hAnsi="仿宋" w:eastAsia="仿宋" w:cs="仿宋"/>
                <w:color w:val="auto"/>
                <w:kern w:val="0"/>
                <w:sz w:val="24"/>
                <w:highlight w:val="none"/>
              </w:rPr>
              <w:t>平台、服务</w:t>
            </w:r>
            <w:r>
              <w:rPr>
                <w:rFonts w:hint="eastAsia" w:ascii="仿宋" w:hAnsi="仿宋" w:eastAsia="仿宋" w:cs="仿宋"/>
                <w:color w:val="auto"/>
                <w:sz w:val="24"/>
                <w:highlight w:val="none"/>
              </w:rPr>
              <w:t>、调试、验收等详细方案</w:t>
            </w:r>
            <w:r>
              <w:rPr>
                <w:rFonts w:hint="eastAsia" w:ascii="仿宋" w:hAnsi="仿宋" w:eastAsia="仿宋" w:cs="仿宋"/>
                <w:color w:val="auto"/>
                <w:kern w:val="0"/>
                <w:sz w:val="24"/>
                <w:highlight w:val="none"/>
              </w:rPr>
              <w:t>，磋商</w:t>
            </w:r>
            <w:r>
              <w:rPr>
                <w:rFonts w:hint="eastAsia" w:ascii="仿宋" w:hAnsi="仿宋" w:eastAsia="仿宋" w:cs="仿宋"/>
                <w:color w:val="auto"/>
                <w:sz w:val="24"/>
                <w:highlight w:val="none"/>
              </w:rPr>
              <w:t>小组综合比较，项目实施方案</w:t>
            </w:r>
            <w:r>
              <w:rPr>
                <w:rFonts w:hint="eastAsia" w:ascii="仿宋" w:hAnsi="仿宋" w:eastAsia="仿宋" w:cs="仿宋"/>
                <w:color w:val="auto"/>
                <w:kern w:val="0"/>
                <w:sz w:val="24"/>
                <w:highlight w:val="none"/>
              </w:rPr>
              <w:t>设置科学，合理性强、可实施程度高，内容描述全面的得8分；</w:t>
            </w:r>
            <w:r>
              <w:rPr>
                <w:rFonts w:hint="eastAsia" w:ascii="仿宋" w:hAnsi="仿宋" w:eastAsia="仿宋" w:cs="仿宋"/>
                <w:color w:val="auto"/>
                <w:sz w:val="24"/>
                <w:highlight w:val="none"/>
              </w:rPr>
              <w:t>项目实施方案</w:t>
            </w:r>
            <w:r>
              <w:rPr>
                <w:rFonts w:hint="eastAsia" w:ascii="仿宋" w:hAnsi="仿宋" w:eastAsia="仿宋" w:cs="仿宋"/>
                <w:color w:val="auto"/>
                <w:kern w:val="0"/>
                <w:sz w:val="24"/>
                <w:highlight w:val="none"/>
              </w:rPr>
              <w:t>设置较为科学、合理、可实施程度良好，内容描述较为全面的得5分；</w:t>
            </w:r>
            <w:r>
              <w:rPr>
                <w:rFonts w:hint="eastAsia" w:ascii="仿宋" w:hAnsi="仿宋" w:eastAsia="仿宋" w:cs="仿宋"/>
                <w:color w:val="auto"/>
                <w:sz w:val="24"/>
                <w:highlight w:val="none"/>
              </w:rPr>
              <w:t>项目实施方案</w:t>
            </w:r>
            <w:r>
              <w:rPr>
                <w:rFonts w:hint="eastAsia" w:ascii="仿宋" w:hAnsi="仿宋" w:eastAsia="仿宋" w:cs="仿宋"/>
                <w:color w:val="auto"/>
                <w:kern w:val="0"/>
                <w:sz w:val="24"/>
                <w:highlight w:val="none"/>
              </w:rPr>
              <w:t>设置科学、合理性一般、可实施程度一般，内容描述较为简略的得3分；</w:t>
            </w:r>
            <w:r>
              <w:rPr>
                <w:rFonts w:hint="eastAsia" w:ascii="仿宋" w:hAnsi="仿宋" w:eastAsia="仿宋" w:cs="仿宋"/>
                <w:color w:val="auto"/>
                <w:sz w:val="24"/>
                <w:highlight w:val="none"/>
              </w:rPr>
              <w:t>项目实施方案</w:t>
            </w:r>
            <w:r>
              <w:rPr>
                <w:rFonts w:hint="eastAsia" w:ascii="仿宋" w:hAnsi="仿宋" w:eastAsia="仿宋" w:cs="仿宋"/>
                <w:color w:val="auto"/>
                <w:kern w:val="0"/>
                <w:sz w:val="24"/>
                <w:highlight w:val="none"/>
              </w:rPr>
              <w:t>设置科学性较差，合理性较差、可实施程度较差，内容描述不全面的1分，</w:t>
            </w:r>
            <w:r>
              <w:rPr>
                <w:rFonts w:hint="eastAsia" w:ascii="仿宋" w:hAnsi="仿宋" w:eastAsia="仿宋" w:cs="仿宋"/>
                <w:color w:val="auto"/>
                <w:kern w:val="0"/>
                <w:sz w:val="24"/>
                <w:highlight w:val="none"/>
                <w:lang w:val="zh-CN"/>
              </w:rPr>
              <w:t>其他不得分。</w:t>
            </w:r>
          </w:p>
        </w:tc>
        <w:tc>
          <w:tcPr>
            <w:tcW w:w="1878" w:type="dxa"/>
            <w:vAlign w:val="center"/>
          </w:tcPr>
          <w:p w14:paraId="4658AB59">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服务方案</w:t>
            </w:r>
          </w:p>
        </w:tc>
      </w:tr>
      <w:tr w14:paraId="7B15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740" w:type="dxa"/>
            <w:vAlign w:val="center"/>
          </w:tcPr>
          <w:p w14:paraId="67B6C0A7">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1314" w:type="dxa"/>
            <w:vAlign w:val="center"/>
          </w:tcPr>
          <w:p w14:paraId="1BEF92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项目进度、质量保证</w:t>
            </w:r>
          </w:p>
        </w:tc>
        <w:tc>
          <w:tcPr>
            <w:tcW w:w="705" w:type="dxa"/>
            <w:vAlign w:val="center"/>
          </w:tcPr>
          <w:p w14:paraId="3E2D7FEF">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4762" w:type="dxa"/>
            <w:vAlign w:val="center"/>
          </w:tcPr>
          <w:p w14:paraId="22D96E51">
            <w:pPr>
              <w:widowControl/>
              <w:tabs>
                <w:tab w:val="left" w:pos="1200"/>
              </w:tabs>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项目进度、质量保证体系、项目实施期间与其他单位、部门的综合协调方案，项目实施方案</w:t>
            </w:r>
            <w:r>
              <w:rPr>
                <w:rFonts w:hint="eastAsia" w:ascii="仿宋" w:hAnsi="仿宋" w:eastAsia="仿宋" w:cs="仿宋"/>
                <w:bCs/>
                <w:color w:val="auto"/>
                <w:sz w:val="24"/>
                <w:highlight w:val="none"/>
              </w:rPr>
              <w:t>设置科学，合理性强、可实施程度高，内容描述全面的得8分；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设置较为科学、合理、可实施程度良好，内容描述较为全面的得5分；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设置科学、合理性一般、可实施程度一般，内容描述较为简略的得3分；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设置科学性较差，合理性较差、可实施程度较差，内容描述不全面的1分，</w:t>
            </w:r>
            <w:r>
              <w:rPr>
                <w:rFonts w:hint="eastAsia" w:ascii="仿宋" w:hAnsi="仿宋" w:eastAsia="仿宋" w:cs="仿宋"/>
                <w:color w:val="auto"/>
                <w:sz w:val="24"/>
                <w:highlight w:val="none"/>
                <w:lang w:val="zh-CN"/>
              </w:rPr>
              <w:t>其他不得分。</w:t>
            </w:r>
          </w:p>
        </w:tc>
        <w:tc>
          <w:tcPr>
            <w:tcW w:w="1878" w:type="dxa"/>
            <w:vAlign w:val="center"/>
          </w:tcPr>
          <w:p w14:paraId="2F231812">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服务方案</w:t>
            </w:r>
          </w:p>
        </w:tc>
      </w:tr>
      <w:tr w14:paraId="72B3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40" w:type="dxa"/>
            <w:vAlign w:val="center"/>
          </w:tcPr>
          <w:p w14:paraId="0B4D1CF6">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1314" w:type="dxa"/>
            <w:vAlign w:val="center"/>
          </w:tcPr>
          <w:p w14:paraId="0D0B2D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服务团队人员保障</w:t>
            </w:r>
          </w:p>
        </w:tc>
        <w:tc>
          <w:tcPr>
            <w:tcW w:w="705" w:type="dxa"/>
            <w:vAlign w:val="center"/>
          </w:tcPr>
          <w:p w14:paraId="6C9616FB">
            <w:pPr>
              <w:widowControl/>
              <w:jc w:val="center"/>
              <w:rPr>
                <w:color w:val="auto"/>
                <w:highlight w:val="none"/>
              </w:rPr>
            </w:pPr>
            <w:r>
              <w:rPr>
                <w:rFonts w:hint="eastAsia" w:ascii="仿宋" w:hAnsi="仿宋" w:eastAsia="仿宋" w:cs="仿宋"/>
                <w:color w:val="auto"/>
                <w:kern w:val="0"/>
                <w:sz w:val="24"/>
                <w:highlight w:val="none"/>
              </w:rPr>
              <w:t>8</w:t>
            </w:r>
          </w:p>
        </w:tc>
        <w:tc>
          <w:tcPr>
            <w:tcW w:w="4762" w:type="dxa"/>
            <w:vAlign w:val="center"/>
          </w:tcPr>
          <w:p w14:paraId="365826AA">
            <w:pPr>
              <w:widowControl/>
              <w:tabs>
                <w:tab w:val="left" w:pos="1200"/>
              </w:tabs>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项目实施期间，服务团队人员进出医院，医院人员的安全保障措施提供方案，项目实施方案</w:t>
            </w:r>
            <w:r>
              <w:rPr>
                <w:rFonts w:hint="eastAsia" w:ascii="仿宋" w:hAnsi="仿宋" w:eastAsia="仿宋" w:cs="仿宋"/>
                <w:bCs/>
                <w:color w:val="auto"/>
                <w:sz w:val="24"/>
                <w:highlight w:val="none"/>
              </w:rPr>
              <w:t>设置科学，合理性强、可实施程度高，内容描述全面的得8分；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设置较为科学、合理、可实施程度良好，内容描述较为全面的得5分；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设置科学、合理性一般、可实施程度一般，内容描述较为简略的得3分；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设置科学性较差，合理性较差、可实施程度较差，内容描述不全面的1分，</w:t>
            </w:r>
            <w:r>
              <w:rPr>
                <w:rFonts w:hint="eastAsia" w:ascii="仿宋" w:hAnsi="仿宋" w:eastAsia="仿宋" w:cs="仿宋"/>
                <w:color w:val="auto"/>
                <w:sz w:val="24"/>
                <w:highlight w:val="none"/>
                <w:lang w:val="zh-CN"/>
              </w:rPr>
              <w:t>其他不得分。</w:t>
            </w:r>
          </w:p>
        </w:tc>
        <w:tc>
          <w:tcPr>
            <w:tcW w:w="1878" w:type="dxa"/>
            <w:vAlign w:val="center"/>
          </w:tcPr>
          <w:p w14:paraId="26FAE615">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服务方案</w:t>
            </w:r>
          </w:p>
        </w:tc>
      </w:tr>
      <w:tr w14:paraId="5427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0285787D">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1314" w:type="dxa"/>
            <w:vAlign w:val="center"/>
          </w:tcPr>
          <w:p w14:paraId="357308DE">
            <w:pPr>
              <w:rPr>
                <w:color w:val="auto"/>
                <w:highlight w:val="none"/>
              </w:rPr>
            </w:pPr>
          </w:p>
          <w:p w14:paraId="124988D8">
            <w:pPr>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售后服务方案</w:t>
            </w:r>
          </w:p>
        </w:tc>
        <w:tc>
          <w:tcPr>
            <w:tcW w:w="705" w:type="dxa"/>
            <w:vAlign w:val="center"/>
          </w:tcPr>
          <w:p w14:paraId="36B697F8">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4762" w:type="dxa"/>
            <w:vAlign w:val="center"/>
          </w:tcPr>
          <w:p w14:paraId="77051AA3">
            <w:pPr>
              <w:widowControl/>
              <w:tabs>
                <w:tab w:val="left" w:pos="1200"/>
              </w:tabs>
              <w:spacing w:line="400" w:lineRule="exact"/>
              <w:ind w:firstLine="480" w:firstLineChars="200"/>
              <w:jc w:val="left"/>
              <w:rPr>
                <w:rFonts w:ascii="仿宋" w:hAnsi="仿宋" w:eastAsia="仿宋" w:cs="仿宋"/>
                <w:color w:val="auto"/>
                <w:sz w:val="24"/>
                <w:szCs w:val="22"/>
                <w:highlight w:val="none"/>
              </w:rPr>
            </w:pPr>
            <w:r>
              <w:rPr>
                <w:rFonts w:hint="eastAsia" w:ascii="仿宋" w:hAnsi="仿宋" w:eastAsia="仿宋" w:cs="仿宋"/>
                <w:color w:val="auto"/>
                <w:sz w:val="24"/>
                <w:highlight w:val="none"/>
              </w:rPr>
              <w:t>供应商根据本项目实际需求提供售后服务方案，包括但不限于售后服务的内容和详细方案、故障响应时间、重大故障的应急预案和措施、安装调试的安排、优惠条件等情况综合评审，提供切实可行的方案。项目实施方案</w:t>
            </w:r>
            <w:r>
              <w:rPr>
                <w:rFonts w:hint="eastAsia" w:ascii="仿宋" w:hAnsi="仿宋" w:eastAsia="仿宋" w:cs="仿宋"/>
                <w:bCs/>
                <w:color w:val="auto"/>
                <w:sz w:val="24"/>
                <w:highlight w:val="none"/>
              </w:rPr>
              <w:t>设置科学，合理性强、可实施程度高，内容描述全面的得8分；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设置较为科学、合理、可实施程度良好，内容描述较为全面的得5分；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设置科学、合理性一般、可实施程度一般，内容描述较为简略的得3分；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设置科学性较差，合理性较差、可实施程度较差，内容描述不全面的1分，</w:t>
            </w:r>
            <w:r>
              <w:rPr>
                <w:rFonts w:hint="eastAsia" w:ascii="仿宋" w:hAnsi="仿宋" w:eastAsia="仿宋" w:cs="仿宋"/>
                <w:color w:val="auto"/>
                <w:sz w:val="24"/>
                <w:highlight w:val="none"/>
                <w:lang w:val="zh-CN"/>
              </w:rPr>
              <w:t>其他不得分。</w:t>
            </w:r>
          </w:p>
        </w:tc>
        <w:tc>
          <w:tcPr>
            <w:tcW w:w="1878" w:type="dxa"/>
            <w:vAlign w:val="center"/>
          </w:tcPr>
          <w:p w14:paraId="57ACBD2F">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服务方案</w:t>
            </w:r>
          </w:p>
        </w:tc>
      </w:tr>
      <w:tr w14:paraId="0B98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0" w:type="dxa"/>
            <w:vAlign w:val="center"/>
          </w:tcPr>
          <w:p w14:paraId="59307F13">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1314" w:type="dxa"/>
            <w:vAlign w:val="center"/>
          </w:tcPr>
          <w:p w14:paraId="53B89C9E">
            <w:pPr>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培训服务方案</w:t>
            </w:r>
          </w:p>
        </w:tc>
        <w:tc>
          <w:tcPr>
            <w:tcW w:w="705" w:type="dxa"/>
            <w:vAlign w:val="center"/>
          </w:tcPr>
          <w:p w14:paraId="19E78BDA">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4762" w:type="dxa"/>
            <w:vAlign w:val="center"/>
          </w:tcPr>
          <w:p w14:paraId="238AE33F">
            <w:pPr>
              <w:widowControl/>
              <w:tabs>
                <w:tab w:val="left" w:pos="1200"/>
              </w:tabs>
              <w:spacing w:line="400" w:lineRule="exact"/>
              <w:ind w:firstLine="480" w:firstLineChars="200"/>
              <w:jc w:val="left"/>
              <w:rPr>
                <w:rFonts w:ascii="仿宋" w:hAnsi="仿宋" w:eastAsia="仿宋" w:cs="仿宋"/>
                <w:color w:val="auto"/>
                <w:sz w:val="24"/>
                <w:szCs w:val="22"/>
                <w:highlight w:val="none"/>
              </w:rPr>
            </w:pPr>
            <w:r>
              <w:rPr>
                <w:rFonts w:hint="eastAsia" w:ascii="仿宋" w:hAnsi="仿宋" w:eastAsia="仿宋" w:cs="仿宋"/>
                <w:color w:val="auto"/>
                <w:sz w:val="24"/>
                <w:highlight w:val="none"/>
              </w:rPr>
              <w:t>供应商根据本项目实际需求提供培训服务方案，包括但不限于培训服务的内容和详细方案、培训的时间、培训内容等情况综合评审，提供切实可行的方案。项目实施方案</w:t>
            </w:r>
            <w:r>
              <w:rPr>
                <w:rFonts w:hint="eastAsia" w:ascii="仿宋" w:hAnsi="仿宋" w:eastAsia="仿宋" w:cs="仿宋"/>
                <w:bCs/>
                <w:color w:val="auto"/>
                <w:sz w:val="24"/>
                <w:highlight w:val="none"/>
              </w:rPr>
              <w:t>设置科学，合理性强、可实施程度高，内容描述全面的得6分；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设置较为科学、合理、可实施程度良好，内容描述较为全面的得4分；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设置科学、合理性一般、可实施程度一般，内容描述较为简略的得2分；</w:t>
            </w:r>
            <w:r>
              <w:rPr>
                <w:rFonts w:hint="eastAsia" w:ascii="仿宋" w:hAnsi="仿宋" w:eastAsia="仿宋" w:cs="仿宋"/>
                <w:color w:val="auto"/>
                <w:sz w:val="24"/>
                <w:highlight w:val="none"/>
              </w:rPr>
              <w:t>项目实施方案</w:t>
            </w:r>
            <w:r>
              <w:rPr>
                <w:rFonts w:hint="eastAsia" w:ascii="仿宋" w:hAnsi="仿宋" w:eastAsia="仿宋" w:cs="仿宋"/>
                <w:bCs/>
                <w:color w:val="auto"/>
                <w:sz w:val="24"/>
                <w:highlight w:val="none"/>
              </w:rPr>
              <w:t>设置科学性较差，合理性较差、可实施程度较差，内容描述不全面的1分，</w:t>
            </w:r>
            <w:r>
              <w:rPr>
                <w:rFonts w:hint="eastAsia" w:ascii="仿宋" w:hAnsi="仿宋" w:eastAsia="仿宋" w:cs="仿宋"/>
                <w:color w:val="auto"/>
                <w:sz w:val="24"/>
                <w:highlight w:val="none"/>
                <w:lang w:val="zh-CN"/>
              </w:rPr>
              <w:t>其他不得分。</w:t>
            </w:r>
          </w:p>
        </w:tc>
        <w:tc>
          <w:tcPr>
            <w:tcW w:w="1878" w:type="dxa"/>
            <w:vAlign w:val="center"/>
          </w:tcPr>
          <w:p w14:paraId="598FCD9A">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服务方案</w:t>
            </w:r>
          </w:p>
        </w:tc>
      </w:tr>
    </w:tbl>
    <w:p w14:paraId="69973E03">
      <w:pPr>
        <w:pStyle w:val="21"/>
        <w:spacing w:line="360" w:lineRule="auto"/>
        <w:ind w:left="0" w:leftChars="0" w:firstLine="0" w:firstLineChars="0"/>
        <w:rPr>
          <w:rFonts w:ascii="仿宋" w:hAnsi="仿宋" w:eastAsia="仿宋"/>
          <w:b/>
          <w:color w:val="auto"/>
          <w:sz w:val="24"/>
          <w:highlight w:val="none"/>
        </w:rPr>
      </w:pPr>
      <w:r>
        <w:rPr>
          <w:rFonts w:hint="eastAsia" w:ascii="仿宋" w:hAnsi="仿宋" w:eastAsia="仿宋"/>
          <w:b/>
          <w:color w:val="auto"/>
          <w:sz w:val="24"/>
          <w:highlight w:val="none"/>
        </w:rPr>
        <w:t xml:space="preserve">注意事项： </w:t>
      </w:r>
    </w:p>
    <w:p w14:paraId="48F6F26D">
      <w:pPr>
        <w:pStyle w:val="21"/>
        <w:spacing w:line="360" w:lineRule="auto"/>
        <w:ind w:firstLine="480"/>
        <w:rPr>
          <w:rFonts w:ascii="仿宋" w:hAnsi="仿宋" w:eastAsia="仿宋"/>
          <w:bCs/>
          <w:color w:val="auto"/>
          <w:sz w:val="24"/>
          <w:highlight w:val="none"/>
        </w:rPr>
      </w:pPr>
      <w:r>
        <w:rPr>
          <w:rFonts w:hint="eastAsia" w:ascii="仿宋" w:hAnsi="仿宋" w:eastAsia="仿宋"/>
          <w:bCs/>
          <w:color w:val="auto"/>
          <w:sz w:val="24"/>
          <w:highlight w:val="none"/>
        </w:rPr>
        <w:t xml:space="preserve">1、评标标准中涉及的相关证明文件，除了按照要求在响应文件中提供相关文件的复印件（加盖公章），评分中要求提供原件现场核查的材料，磋商供应商应在投标截止时间前随同响应文件一并提交以备核实，否则该项不得分，过时不予接收。 </w:t>
      </w:r>
    </w:p>
    <w:p w14:paraId="674EE062">
      <w:pPr>
        <w:pStyle w:val="21"/>
        <w:spacing w:line="360" w:lineRule="auto"/>
        <w:ind w:firstLine="480"/>
        <w:rPr>
          <w:rFonts w:ascii="仿宋" w:hAnsi="仿宋" w:eastAsia="仿宋"/>
          <w:b/>
          <w:color w:val="auto"/>
          <w:sz w:val="44"/>
          <w:szCs w:val="21"/>
          <w:highlight w:val="none"/>
        </w:rPr>
      </w:pPr>
      <w:r>
        <w:rPr>
          <w:rFonts w:hint="eastAsia" w:ascii="仿宋" w:hAnsi="仿宋" w:eastAsia="仿宋"/>
          <w:bCs/>
          <w:color w:val="auto"/>
          <w:sz w:val="24"/>
          <w:highlight w:val="none"/>
        </w:rPr>
        <w:t>2、为便于评分，请磋商供应商按评分表样式，逐条列出证明材料所在页码，格式自定。</w:t>
      </w:r>
      <w:bookmarkStart w:id="127" w:name="_Toc463253086"/>
    </w:p>
    <w:p w14:paraId="7480F5F3">
      <w:pPr>
        <w:jc w:val="left"/>
        <w:rPr>
          <w:rFonts w:ascii="仿宋" w:hAnsi="仿宋" w:eastAsia="仿宋"/>
          <w:b/>
          <w:color w:val="auto"/>
          <w:sz w:val="44"/>
          <w:szCs w:val="21"/>
          <w:highlight w:val="none"/>
        </w:rPr>
      </w:pPr>
      <w:r>
        <w:rPr>
          <w:rFonts w:ascii="仿宋" w:hAnsi="仿宋" w:eastAsia="仿宋"/>
          <w:b/>
          <w:color w:val="auto"/>
          <w:sz w:val="44"/>
          <w:szCs w:val="21"/>
          <w:highlight w:val="none"/>
        </w:rPr>
        <w:br w:type="page"/>
      </w:r>
    </w:p>
    <w:p w14:paraId="6BBD6AA6">
      <w:pPr>
        <w:spacing w:line="480" w:lineRule="auto"/>
        <w:jc w:val="center"/>
        <w:outlineLvl w:val="0"/>
        <w:rPr>
          <w:rFonts w:ascii="仿宋" w:hAnsi="仿宋" w:eastAsia="仿宋"/>
          <w:b/>
          <w:color w:val="auto"/>
          <w:sz w:val="44"/>
          <w:szCs w:val="21"/>
          <w:highlight w:val="none"/>
        </w:rPr>
      </w:pPr>
      <w:r>
        <w:rPr>
          <w:rFonts w:ascii="仿宋" w:hAnsi="仿宋" w:eastAsia="仿宋"/>
          <w:b/>
          <w:color w:val="auto"/>
          <w:sz w:val="44"/>
          <w:szCs w:val="21"/>
          <w:highlight w:val="none"/>
        </w:rPr>
        <w:t xml:space="preserve">第六章  </w:t>
      </w:r>
      <w:bookmarkEnd w:id="126"/>
      <w:bookmarkEnd w:id="127"/>
      <w:r>
        <w:rPr>
          <w:rFonts w:hint="eastAsia" w:ascii="仿宋" w:hAnsi="仿宋" w:eastAsia="仿宋"/>
          <w:b/>
          <w:color w:val="auto"/>
          <w:sz w:val="44"/>
          <w:szCs w:val="21"/>
          <w:highlight w:val="none"/>
        </w:rPr>
        <w:t>响应</w:t>
      </w:r>
      <w:r>
        <w:rPr>
          <w:rFonts w:ascii="仿宋" w:hAnsi="仿宋" w:eastAsia="仿宋"/>
          <w:b/>
          <w:color w:val="auto"/>
          <w:sz w:val="44"/>
          <w:szCs w:val="21"/>
          <w:highlight w:val="none"/>
        </w:rPr>
        <w:t>文件格式</w:t>
      </w:r>
    </w:p>
    <w:p w14:paraId="3FDB05BF">
      <w:pPr>
        <w:jc w:val="center"/>
        <w:rPr>
          <w:rFonts w:ascii="仿宋" w:hAnsi="仿宋" w:eastAsia="仿宋"/>
          <w:b/>
          <w:color w:val="auto"/>
          <w:sz w:val="72"/>
          <w:highlight w:val="none"/>
        </w:rPr>
      </w:pPr>
      <w:bookmarkStart w:id="128" w:name="_Hlt26955039"/>
      <w:bookmarkEnd w:id="128"/>
      <w:bookmarkStart w:id="129" w:name="_Hlt26671244"/>
      <w:bookmarkEnd w:id="129"/>
      <w:bookmarkStart w:id="130" w:name="_Toc26554094"/>
      <w:bookmarkStart w:id="131" w:name="_Toc49090576"/>
      <w:bookmarkStart w:id="132" w:name="_Toc120614282"/>
    </w:p>
    <w:p w14:paraId="47540F62">
      <w:pPr>
        <w:jc w:val="center"/>
        <w:rPr>
          <w:rFonts w:ascii="仿宋" w:hAnsi="仿宋" w:eastAsia="仿宋"/>
          <w:b/>
          <w:color w:val="auto"/>
          <w:sz w:val="72"/>
          <w:highlight w:val="none"/>
        </w:rPr>
      </w:pPr>
      <w:r>
        <w:rPr>
          <w:rFonts w:hint="eastAsia" w:ascii="仿宋" w:hAnsi="仿宋" w:eastAsia="仿宋"/>
          <w:b/>
          <w:color w:val="auto"/>
          <w:sz w:val="72"/>
          <w:highlight w:val="none"/>
        </w:rPr>
        <w:t>响  应</w:t>
      </w:r>
      <w:r>
        <w:rPr>
          <w:rFonts w:ascii="仿宋" w:hAnsi="仿宋" w:eastAsia="仿宋"/>
          <w:b/>
          <w:color w:val="auto"/>
          <w:sz w:val="72"/>
          <w:highlight w:val="none"/>
        </w:rPr>
        <w:t xml:space="preserve">  文  件</w:t>
      </w:r>
    </w:p>
    <w:p w14:paraId="6FBDDD5A">
      <w:pPr>
        <w:jc w:val="center"/>
        <w:rPr>
          <w:rFonts w:ascii="仿宋" w:hAnsi="仿宋" w:eastAsia="仿宋"/>
          <w:b/>
          <w:color w:val="auto"/>
          <w:sz w:val="72"/>
          <w:highlight w:val="none"/>
        </w:rPr>
      </w:pPr>
    </w:p>
    <w:p w14:paraId="2549C4F1">
      <w:pPr>
        <w:jc w:val="center"/>
        <w:rPr>
          <w:rFonts w:ascii="仿宋" w:hAnsi="仿宋" w:eastAsia="仿宋"/>
          <w:b/>
          <w:color w:val="auto"/>
          <w:sz w:val="72"/>
          <w:highlight w:val="none"/>
        </w:rPr>
      </w:pPr>
    </w:p>
    <w:p w14:paraId="6B9436C5">
      <w:pPr>
        <w:jc w:val="center"/>
        <w:rPr>
          <w:rFonts w:ascii="仿宋" w:hAnsi="仿宋" w:eastAsia="仿宋"/>
          <w:b/>
          <w:color w:val="auto"/>
          <w:sz w:val="36"/>
          <w:highlight w:val="none"/>
        </w:rPr>
      </w:pPr>
    </w:p>
    <w:p w14:paraId="77FB7466">
      <w:pPr>
        <w:jc w:val="center"/>
        <w:rPr>
          <w:rFonts w:ascii="仿宋" w:hAnsi="仿宋" w:eastAsia="仿宋"/>
          <w:b/>
          <w:color w:val="auto"/>
          <w:sz w:val="36"/>
          <w:highlight w:val="none"/>
        </w:rPr>
      </w:pPr>
    </w:p>
    <w:p w14:paraId="1D0A57B9">
      <w:pPr>
        <w:jc w:val="center"/>
        <w:rPr>
          <w:rFonts w:ascii="仿宋" w:hAnsi="仿宋" w:eastAsia="仿宋"/>
          <w:b/>
          <w:color w:val="auto"/>
          <w:sz w:val="36"/>
          <w:highlight w:val="none"/>
        </w:rPr>
      </w:pPr>
    </w:p>
    <w:p w14:paraId="7CFD16A3">
      <w:pPr>
        <w:ind w:firstLine="1084" w:firstLineChars="300"/>
        <w:rPr>
          <w:rFonts w:ascii="仿宋" w:hAnsi="仿宋" w:eastAsia="仿宋"/>
          <w:b/>
          <w:color w:val="auto"/>
          <w:sz w:val="36"/>
          <w:highlight w:val="none"/>
        </w:rPr>
      </w:pPr>
      <w:r>
        <w:rPr>
          <w:rFonts w:ascii="仿宋" w:hAnsi="仿宋" w:eastAsia="仿宋"/>
          <w:b/>
          <w:color w:val="auto"/>
          <w:sz w:val="36"/>
          <w:highlight w:val="none"/>
        </w:rPr>
        <w:t>项 目 名 称：</w:t>
      </w:r>
      <w:r>
        <w:rPr>
          <w:rFonts w:ascii="仿宋" w:hAnsi="仿宋" w:eastAsia="仿宋"/>
          <w:b/>
          <w:color w:val="auto"/>
          <w:sz w:val="36"/>
          <w:highlight w:val="none"/>
          <w:u w:val="single"/>
        </w:rPr>
        <w:t xml:space="preserve">               </w:t>
      </w:r>
    </w:p>
    <w:p w14:paraId="5206BD21">
      <w:pPr>
        <w:ind w:firstLine="1084" w:firstLineChars="300"/>
        <w:rPr>
          <w:rFonts w:ascii="仿宋" w:hAnsi="仿宋" w:eastAsia="仿宋"/>
          <w:b/>
          <w:color w:val="auto"/>
          <w:sz w:val="36"/>
          <w:highlight w:val="none"/>
          <w:u w:val="single"/>
        </w:rPr>
      </w:pPr>
      <w:r>
        <w:rPr>
          <w:rFonts w:ascii="仿宋" w:hAnsi="仿宋" w:eastAsia="仿宋"/>
          <w:b/>
          <w:color w:val="auto"/>
          <w:sz w:val="36"/>
          <w:highlight w:val="none"/>
        </w:rPr>
        <w:t>项 目 编 号：</w:t>
      </w:r>
      <w:r>
        <w:rPr>
          <w:rFonts w:ascii="仿宋" w:hAnsi="仿宋" w:eastAsia="仿宋"/>
          <w:b/>
          <w:color w:val="auto"/>
          <w:sz w:val="36"/>
          <w:highlight w:val="none"/>
          <w:u w:val="single"/>
        </w:rPr>
        <w:t xml:space="preserve">               </w:t>
      </w:r>
    </w:p>
    <w:p w14:paraId="42CC59C6">
      <w:pPr>
        <w:rPr>
          <w:rFonts w:ascii="仿宋" w:hAnsi="仿宋" w:eastAsia="仿宋"/>
          <w:b/>
          <w:color w:val="auto"/>
          <w:sz w:val="36"/>
          <w:highlight w:val="none"/>
        </w:rPr>
      </w:pPr>
    </w:p>
    <w:p w14:paraId="724F2AE4">
      <w:pPr>
        <w:rPr>
          <w:rFonts w:ascii="仿宋" w:hAnsi="仿宋" w:eastAsia="仿宋"/>
          <w:b/>
          <w:color w:val="auto"/>
          <w:sz w:val="36"/>
          <w:highlight w:val="none"/>
        </w:rPr>
      </w:pPr>
    </w:p>
    <w:p w14:paraId="3C74F9DB">
      <w:pPr>
        <w:rPr>
          <w:rFonts w:ascii="仿宋" w:hAnsi="仿宋" w:eastAsia="仿宋"/>
          <w:b/>
          <w:color w:val="auto"/>
          <w:sz w:val="36"/>
          <w:highlight w:val="none"/>
        </w:rPr>
      </w:pPr>
    </w:p>
    <w:p w14:paraId="0C80F5AF">
      <w:pPr>
        <w:rPr>
          <w:rFonts w:ascii="仿宋" w:hAnsi="仿宋" w:eastAsia="仿宋"/>
          <w:b/>
          <w:color w:val="auto"/>
          <w:sz w:val="36"/>
          <w:highlight w:val="none"/>
        </w:rPr>
      </w:pPr>
    </w:p>
    <w:p w14:paraId="5A0E34DE">
      <w:pPr>
        <w:rPr>
          <w:rFonts w:ascii="仿宋" w:hAnsi="仿宋" w:eastAsia="仿宋"/>
          <w:b/>
          <w:color w:val="auto"/>
          <w:sz w:val="36"/>
          <w:highlight w:val="none"/>
        </w:rPr>
      </w:pPr>
    </w:p>
    <w:p w14:paraId="25891889">
      <w:pPr>
        <w:rPr>
          <w:rFonts w:ascii="仿宋" w:hAnsi="仿宋" w:eastAsia="仿宋"/>
          <w:b/>
          <w:color w:val="auto"/>
          <w:sz w:val="36"/>
          <w:highlight w:val="none"/>
          <w:u w:val="single"/>
        </w:rPr>
      </w:pPr>
      <w:r>
        <w:rPr>
          <w:rFonts w:ascii="仿宋" w:hAnsi="仿宋" w:eastAsia="仿宋"/>
          <w:b/>
          <w:color w:val="auto"/>
          <w:sz w:val="36"/>
          <w:highlight w:val="none"/>
        </w:rPr>
        <w:t xml:space="preserve">      </w:t>
      </w:r>
      <w:r>
        <w:rPr>
          <w:rFonts w:hint="eastAsia" w:ascii="仿宋" w:hAnsi="仿宋" w:eastAsia="仿宋"/>
          <w:b/>
          <w:color w:val="auto"/>
          <w:sz w:val="36"/>
          <w:highlight w:val="none"/>
        </w:rPr>
        <w:t>供应商</w:t>
      </w:r>
      <w:r>
        <w:rPr>
          <w:rFonts w:ascii="仿宋" w:hAnsi="仿宋" w:eastAsia="仿宋"/>
          <w:b/>
          <w:color w:val="auto"/>
          <w:sz w:val="36"/>
          <w:highlight w:val="none"/>
        </w:rPr>
        <w:t>名称</w:t>
      </w:r>
      <w:r>
        <w:rPr>
          <w:rFonts w:hint="eastAsia" w:ascii="仿宋" w:hAnsi="仿宋" w:eastAsia="仿宋"/>
          <w:b/>
          <w:color w:val="auto"/>
          <w:sz w:val="36"/>
          <w:highlight w:val="none"/>
        </w:rPr>
        <w:t>（公章）</w:t>
      </w:r>
      <w:r>
        <w:rPr>
          <w:rFonts w:ascii="仿宋" w:hAnsi="仿宋" w:eastAsia="仿宋"/>
          <w:b/>
          <w:color w:val="auto"/>
          <w:sz w:val="36"/>
          <w:highlight w:val="none"/>
        </w:rPr>
        <w:t xml:space="preserve"> ：</w:t>
      </w:r>
      <w:r>
        <w:rPr>
          <w:rFonts w:ascii="仿宋" w:hAnsi="仿宋" w:eastAsia="仿宋"/>
          <w:b/>
          <w:color w:val="auto"/>
          <w:sz w:val="36"/>
          <w:highlight w:val="none"/>
          <w:u w:val="single"/>
        </w:rPr>
        <w:t xml:space="preserve">               </w:t>
      </w:r>
    </w:p>
    <w:p w14:paraId="13A208D9">
      <w:pPr>
        <w:rPr>
          <w:rFonts w:ascii="仿宋" w:hAnsi="仿宋" w:eastAsia="仿宋"/>
          <w:b/>
          <w:color w:val="auto"/>
          <w:sz w:val="36"/>
          <w:highlight w:val="none"/>
        </w:rPr>
      </w:pPr>
      <w:r>
        <w:rPr>
          <w:rFonts w:ascii="仿宋" w:hAnsi="仿宋" w:eastAsia="仿宋"/>
          <w:b/>
          <w:color w:val="auto"/>
          <w:sz w:val="36"/>
          <w:highlight w:val="none"/>
        </w:rPr>
        <w:t xml:space="preserve">       日      期 ：</w:t>
      </w:r>
      <w:r>
        <w:rPr>
          <w:rFonts w:ascii="仿宋" w:hAnsi="仿宋" w:eastAsia="仿宋"/>
          <w:b/>
          <w:color w:val="auto"/>
          <w:sz w:val="36"/>
          <w:highlight w:val="none"/>
          <w:u w:val="single"/>
        </w:rPr>
        <w:t xml:space="preserve">               </w:t>
      </w:r>
    </w:p>
    <w:p w14:paraId="4F7370B1">
      <w:pPr>
        <w:spacing w:line="440" w:lineRule="exact"/>
        <w:ind w:firstLine="643"/>
        <w:jc w:val="center"/>
        <w:rPr>
          <w:rFonts w:ascii="仿宋" w:hAnsi="仿宋" w:eastAsia="仿宋"/>
          <w:b/>
          <w:bCs/>
          <w:color w:val="auto"/>
          <w:sz w:val="32"/>
          <w:szCs w:val="32"/>
          <w:highlight w:val="none"/>
        </w:rPr>
      </w:pPr>
    </w:p>
    <w:p w14:paraId="5F261D15">
      <w:pPr>
        <w:spacing w:line="480" w:lineRule="auto"/>
        <w:outlineLvl w:val="0"/>
        <w:rPr>
          <w:rFonts w:ascii="仿宋" w:hAnsi="仿宋" w:eastAsia="仿宋"/>
          <w:b/>
          <w:color w:val="auto"/>
          <w:sz w:val="44"/>
          <w:szCs w:val="21"/>
          <w:highlight w:val="none"/>
        </w:rPr>
      </w:pPr>
    </w:p>
    <w:p w14:paraId="56AE8FE9">
      <w:pPr>
        <w:pStyle w:val="30"/>
        <w:rPr>
          <w:rFonts w:ascii="仿宋" w:hAnsi="仿宋" w:eastAsia="仿宋"/>
          <w:b/>
          <w:color w:val="auto"/>
          <w:sz w:val="44"/>
          <w:szCs w:val="21"/>
          <w:highlight w:val="none"/>
        </w:rPr>
      </w:pPr>
    </w:p>
    <w:p w14:paraId="3A20B10D">
      <w:pPr>
        <w:pStyle w:val="21"/>
        <w:ind w:firstLine="0" w:firstLineChars="0"/>
        <w:rPr>
          <w:color w:val="auto"/>
          <w:highlight w:val="none"/>
        </w:rPr>
      </w:pPr>
    </w:p>
    <w:p w14:paraId="1AEE3233">
      <w:pPr>
        <w:spacing w:line="480" w:lineRule="auto"/>
        <w:jc w:val="center"/>
        <w:outlineLvl w:val="0"/>
        <w:rPr>
          <w:rFonts w:ascii="仿宋" w:hAnsi="仿宋" w:eastAsia="仿宋"/>
          <w:b/>
          <w:color w:val="auto"/>
          <w:sz w:val="44"/>
          <w:szCs w:val="21"/>
          <w:highlight w:val="none"/>
        </w:rPr>
      </w:pPr>
      <w:r>
        <w:rPr>
          <w:rFonts w:hint="eastAsia" w:ascii="仿宋" w:hAnsi="仿宋" w:eastAsia="仿宋"/>
          <w:b/>
          <w:color w:val="auto"/>
          <w:sz w:val="44"/>
          <w:szCs w:val="21"/>
          <w:highlight w:val="none"/>
        </w:rPr>
        <w:t xml:space="preserve">响 应 文 件 目 录 </w:t>
      </w:r>
    </w:p>
    <w:p w14:paraId="5D8EF0C6">
      <w:pPr>
        <w:snapToGrid w:val="0"/>
        <w:spacing w:before="50" w:after="50" w:line="360" w:lineRule="auto"/>
        <w:ind w:firstLine="506" w:firstLineChars="180"/>
        <w:rPr>
          <w:rFonts w:ascii="仿宋" w:hAnsi="仿宋" w:eastAsia="仿宋"/>
          <w:b/>
          <w:bCs/>
          <w:color w:val="auto"/>
          <w:sz w:val="28"/>
          <w:szCs w:val="28"/>
          <w:highlight w:val="none"/>
        </w:rPr>
      </w:pPr>
    </w:p>
    <w:p w14:paraId="2A950985">
      <w:pPr>
        <w:snapToGrid w:val="0"/>
        <w:spacing w:before="50" w:after="50" w:line="360" w:lineRule="auto"/>
        <w:ind w:firstLine="506" w:firstLineChars="18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（一）实质性资格证明文件</w:t>
      </w:r>
    </w:p>
    <w:p w14:paraId="4BB786CF">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★1、法定代表人身份证复印件 </w:t>
      </w:r>
    </w:p>
    <w:p w14:paraId="25D78EC5">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★2、授权委托书（如有授权必须提供，格式参见附件）</w:t>
      </w:r>
    </w:p>
    <w:p w14:paraId="46FEBF2A">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★3、提供供应商为磋商代表（法定代表人或委托代理人）缴纳的2024年10月-12月连续三个月的社保缴纳证明材料加盖社保部门签章或电子签章</w:t>
      </w:r>
    </w:p>
    <w:p w14:paraId="3C28A0B4">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★4、代理人身份证复印件（如有授权必须提供）</w:t>
      </w:r>
    </w:p>
    <w:p w14:paraId="3AC8E6FD">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★5、声明函（格式参见附件）</w:t>
      </w:r>
    </w:p>
    <w:p w14:paraId="7483655A">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★6、响应函（格式参见附件）</w:t>
      </w:r>
    </w:p>
    <w:p w14:paraId="5BC39FC5">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★7、工商营业执照副本复印件（三证合一）</w:t>
      </w:r>
    </w:p>
    <w:p w14:paraId="344FFCFD">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★8、供应商情况表（格式参见附件）</w:t>
      </w:r>
    </w:p>
    <w:p w14:paraId="7654E899">
      <w:pPr>
        <w:snapToGrid w:val="0"/>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（二）商务及技术部分文件</w:t>
      </w:r>
    </w:p>
    <w:p w14:paraId="33D16C2D">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★1、报价一览表（格式参见附件）</w:t>
      </w:r>
    </w:p>
    <w:p w14:paraId="7E5BC5C3">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★2、偏离表（格式参见附件）</w:t>
      </w:r>
    </w:p>
    <w:p w14:paraId="1AF754EF">
      <w:pPr>
        <w:snapToGrid w:val="0"/>
        <w:spacing w:line="360" w:lineRule="auto"/>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3、拟投入本项目人员配置情况表（项目负责人）（格式参见附件）</w:t>
      </w:r>
    </w:p>
    <w:p w14:paraId="623F497C">
      <w:pPr>
        <w:snapToGrid w:val="0"/>
        <w:spacing w:line="360" w:lineRule="auto"/>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4、参加本项目人员一览表（格式参见附件）</w:t>
      </w:r>
    </w:p>
    <w:p w14:paraId="50DC2EC5">
      <w:pPr>
        <w:snapToGrid w:val="0"/>
        <w:spacing w:line="360" w:lineRule="auto"/>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5、相关业绩案例一览表（格式参见附件）</w:t>
      </w:r>
    </w:p>
    <w:p w14:paraId="7E3BC62A">
      <w:pPr>
        <w:snapToGrid w:val="0"/>
        <w:spacing w:line="360" w:lineRule="auto"/>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6、服务实施方案等</w:t>
      </w:r>
    </w:p>
    <w:p w14:paraId="4405D9F6">
      <w:pPr>
        <w:snapToGrid w:val="0"/>
        <w:spacing w:before="50" w:after="50" w:line="360" w:lineRule="auto"/>
        <w:ind w:firstLine="419" w:firstLineChars="149"/>
        <w:rPr>
          <w:rFonts w:ascii="仿宋" w:hAnsi="仿宋" w:eastAsia="仿宋"/>
          <w:color w:val="auto"/>
          <w:sz w:val="28"/>
          <w:szCs w:val="28"/>
          <w:highlight w:val="none"/>
        </w:rPr>
      </w:pPr>
      <w:r>
        <w:rPr>
          <w:rFonts w:hint="eastAsia" w:ascii="仿宋" w:hAnsi="仿宋" w:eastAsia="仿宋"/>
          <w:b/>
          <w:bCs/>
          <w:color w:val="auto"/>
          <w:sz w:val="28"/>
          <w:szCs w:val="28"/>
          <w:highlight w:val="none"/>
        </w:rPr>
        <w:t>（三）非实质性资信证明文件目录（如果有的话请提供）</w:t>
      </w:r>
    </w:p>
    <w:p w14:paraId="2D082BC5">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1、供应商认为可以证明其能力或业绩的其他材料----包含成功案例、业绩证明（供应商同类项目实施情况一览表、合同复印件）</w:t>
      </w:r>
    </w:p>
    <w:p w14:paraId="4D5AC6C6">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2、供应商的信誉、荣誉、获奖证书或文件</w:t>
      </w:r>
    </w:p>
    <w:p w14:paraId="7E5B14DD">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3、供应商质量保证体系、环境保证体系等方面的认证证书</w:t>
      </w:r>
    </w:p>
    <w:p w14:paraId="491B5162">
      <w:pPr>
        <w:snapToGrid w:val="0"/>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（四）竞争性磋商文件要求供应商提供的和供应商认为与本项目有关的并可以提供的其它相关的证明材料（如果有的话请提供）。</w:t>
      </w:r>
    </w:p>
    <w:p w14:paraId="64BD10ED">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注：1.上述带★材料必须在响应文件中提供，否则将作为无效响应文件处理；</w:t>
      </w:r>
    </w:p>
    <w:p w14:paraId="4632B6F4">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2.提供复印件的须加盖供应商公章，且复印件内容应清晰可辨，必要时磋商小组有权要求提供原件或公证件进行核对；</w:t>
      </w:r>
    </w:p>
    <w:p w14:paraId="33B5F325">
      <w:pPr>
        <w:snapToGrid w:val="0"/>
        <w:spacing w:line="360" w:lineRule="auto"/>
        <w:ind w:firstLine="560" w:firstLineChars="200"/>
        <w:rPr>
          <w:bCs/>
          <w:color w:val="auto"/>
          <w:sz w:val="24"/>
          <w:highlight w:val="none"/>
        </w:rPr>
      </w:pPr>
      <w:r>
        <w:rPr>
          <w:rFonts w:hint="eastAsia" w:ascii="仿宋" w:hAnsi="仿宋" w:eastAsia="仿宋"/>
          <w:color w:val="auto"/>
          <w:sz w:val="28"/>
          <w:szCs w:val="28"/>
          <w:highlight w:val="none"/>
        </w:rPr>
        <w:t>3.本章中的所有的附件格式供参考，供应商可根据自身情况进行补充和修改，但补充和修改不得与本章附件格式内容有实质性的违背。</w:t>
      </w:r>
      <w:r>
        <w:rPr>
          <w:color w:val="auto"/>
          <w:sz w:val="22"/>
          <w:szCs w:val="28"/>
          <w:highlight w:val="none"/>
        </w:rPr>
        <w:br w:type="page"/>
      </w:r>
      <w:r>
        <w:rPr>
          <w:rFonts w:hint="eastAsia" w:ascii="仿宋" w:hAnsi="仿宋" w:eastAsia="仿宋"/>
          <w:b/>
          <w:bCs/>
          <w:color w:val="auto"/>
          <w:sz w:val="24"/>
          <w:szCs w:val="21"/>
          <w:highlight w:val="none"/>
        </w:rPr>
        <w:t>附件1：</w:t>
      </w:r>
    </w:p>
    <w:p w14:paraId="369A85F6">
      <w:pPr>
        <w:pStyle w:val="4"/>
        <w:jc w:val="center"/>
        <w:rPr>
          <w:rFonts w:ascii="仿宋" w:hAnsi="仿宋" w:eastAsia="仿宋"/>
          <w:bCs/>
          <w:color w:val="auto"/>
          <w:kern w:val="2"/>
          <w:sz w:val="36"/>
          <w:szCs w:val="22"/>
          <w:highlight w:val="none"/>
          <w:u w:val="none"/>
        </w:rPr>
      </w:pPr>
      <w:r>
        <w:rPr>
          <w:rFonts w:hint="eastAsia" w:ascii="仿宋" w:hAnsi="仿宋" w:eastAsia="仿宋"/>
          <w:bCs/>
          <w:color w:val="auto"/>
          <w:kern w:val="2"/>
          <w:sz w:val="36"/>
          <w:szCs w:val="22"/>
          <w:highlight w:val="none"/>
          <w:u w:val="none"/>
        </w:rPr>
        <w:t>授权委托书</w:t>
      </w:r>
    </w:p>
    <w:p w14:paraId="77B45BDA">
      <w:pPr>
        <w:pStyle w:val="62"/>
        <w:spacing w:line="480" w:lineRule="auto"/>
        <w:ind w:firstLine="480"/>
        <w:rPr>
          <w:rFonts w:ascii="仿宋" w:hAnsi="仿宋" w:eastAsia="仿宋"/>
          <w:color w:val="auto"/>
          <w:highlight w:val="none"/>
        </w:rPr>
      </w:pPr>
      <w:r>
        <w:rPr>
          <w:rFonts w:hint="eastAsia" w:ascii="仿宋" w:hAnsi="仿宋" w:eastAsia="仿宋"/>
          <w:color w:val="auto"/>
          <w:highlight w:val="none"/>
        </w:rPr>
        <w:t>本授权委托书声明：____________（供应商名称）授权________________（被授权人的姓名）为我方就ZYJS-SC2025007号</w:t>
      </w:r>
      <w:r>
        <w:rPr>
          <w:rFonts w:hint="eastAsia" w:ascii="仿宋" w:hAnsi="仿宋" w:eastAsia="仿宋"/>
          <w:color w:val="auto"/>
          <w:highlight w:val="none"/>
          <w:u w:val="single"/>
        </w:rPr>
        <w:t>一站式预约管理平台项目</w:t>
      </w:r>
      <w:r>
        <w:rPr>
          <w:rFonts w:hint="eastAsia" w:ascii="仿宋" w:hAnsi="仿宋" w:eastAsia="仿宋"/>
          <w:color w:val="auto"/>
          <w:highlight w:val="none"/>
        </w:rPr>
        <w:t>竞争性磋商活动的合法代理人，以本公司名义全权处理一切与该项目竞争性磋商有关的事务，我单位均予以承认。</w:t>
      </w:r>
    </w:p>
    <w:p w14:paraId="4AEEF41F">
      <w:pPr>
        <w:pStyle w:val="62"/>
        <w:spacing w:line="480" w:lineRule="auto"/>
        <w:ind w:firstLine="480" w:firstLineChars="200"/>
        <w:rPr>
          <w:rFonts w:ascii="仿宋" w:hAnsi="仿宋" w:eastAsia="仿宋"/>
          <w:color w:val="auto"/>
          <w:highlight w:val="none"/>
        </w:rPr>
      </w:pPr>
      <w:r>
        <w:rPr>
          <w:rFonts w:hint="eastAsia" w:ascii="仿宋" w:hAnsi="仿宋" w:eastAsia="仿宋"/>
          <w:color w:val="auto"/>
          <w:highlight w:val="none"/>
        </w:rPr>
        <w:t>代理人无转委托权。</w:t>
      </w:r>
    </w:p>
    <w:p w14:paraId="16C21C8A">
      <w:pPr>
        <w:pStyle w:val="62"/>
        <w:spacing w:line="480" w:lineRule="auto"/>
        <w:ind w:firstLine="480" w:firstLineChars="200"/>
        <w:rPr>
          <w:rFonts w:ascii="仿宋" w:hAnsi="仿宋" w:eastAsia="仿宋"/>
          <w:color w:val="auto"/>
          <w:highlight w:val="none"/>
        </w:rPr>
      </w:pPr>
      <w:r>
        <w:rPr>
          <w:rFonts w:hint="eastAsia" w:ascii="仿宋" w:hAnsi="仿宋" w:eastAsia="仿宋"/>
          <w:color w:val="auto"/>
          <w:highlight w:val="none"/>
        </w:rPr>
        <w:t>代理人的代理期限为自本授权委托书签署之日起至项目合同履行完毕止。</w:t>
      </w:r>
    </w:p>
    <w:p w14:paraId="3A5D5718">
      <w:pPr>
        <w:pStyle w:val="62"/>
        <w:spacing w:line="480" w:lineRule="auto"/>
        <w:ind w:firstLine="480" w:firstLineChars="200"/>
        <w:rPr>
          <w:rFonts w:ascii="仿宋" w:hAnsi="仿宋" w:eastAsia="仿宋"/>
          <w:color w:val="auto"/>
          <w:highlight w:val="none"/>
        </w:rPr>
      </w:pPr>
      <w:r>
        <w:rPr>
          <w:rFonts w:hint="eastAsia" w:ascii="仿宋" w:hAnsi="仿宋" w:eastAsia="仿宋"/>
          <w:color w:val="auto"/>
          <w:highlight w:val="none"/>
        </w:rPr>
        <w:t>代理人在授权委托书有效期内签署的所有文件不因授权委托的撤销而失效，本授权委托书的有效期与代理人的代理期限一致。</w:t>
      </w:r>
    </w:p>
    <w:p w14:paraId="73DE7751">
      <w:pPr>
        <w:pStyle w:val="62"/>
        <w:spacing w:line="480" w:lineRule="auto"/>
        <w:ind w:firstLine="480" w:firstLineChars="200"/>
        <w:rPr>
          <w:rFonts w:ascii="仿宋" w:hAnsi="仿宋" w:eastAsia="仿宋"/>
          <w:color w:val="auto"/>
          <w:highlight w:val="none"/>
        </w:rPr>
      </w:pPr>
      <w:r>
        <w:rPr>
          <w:rFonts w:hint="eastAsia" w:ascii="仿宋" w:hAnsi="仿宋" w:eastAsia="仿宋"/>
          <w:color w:val="auto"/>
          <w:highlight w:val="none"/>
        </w:rPr>
        <w:t>特此声明。</w:t>
      </w:r>
    </w:p>
    <w:p w14:paraId="1F276BAD">
      <w:pPr>
        <w:pStyle w:val="62"/>
        <w:spacing w:line="480" w:lineRule="auto"/>
        <w:rPr>
          <w:rFonts w:ascii="仿宋" w:hAnsi="仿宋" w:eastAsia="仿宋"/>
          <w:color w:val="auto"/>
          <w:highlight w:val="none"/>
        </w:rPr>
      </w:pPr>
    </w:p>
    <w:p w14:paraId="1BFA9651">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w:t>
      </w:r>
      <w:r>
        <w:rPr>
          <w:rFonts w:hint="eastAsia" w:ascii="仿宋" w:hAnsi="仿宋" w:eastAsia="仿宋"/>
          <w:bCs/>
          <w:color w:val="auto"/>
          <w:highlight w:val="none"/>
        </w:rPr>
        <w:t>供应商</w:t>
      </w:r>
      <w:r>
        <w:rPr>
          <w:rFonts w:hint="eastAsia" w:ascii="仿宋" w:hAnsi="仿宋" w:eastAsia="仿宋"/>
          <w:color w:val="auto"/>
          <w:highlight w:val="none"/>
        </w:rPr>
        <w:t>（盖章）：</w:t>
      </w:r>
    </w:p>
    <w:p w14:paraId="592A127C">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法定代表人（签字或盖章）：</w:t>
      </w:r>
    </w:p>
    <w:p w14:paraId="1910464E">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身份证号码：</w:t>
      </w:r>
    </w:p>
    <w:p w14:paraId="4EEAD370">
      <w:pPr>
        <w:pStyle w:val="62"/>
        <w:spacing w:line="480" w:lineRule="auto"/>
        <w:rPr>
          <w:rFonts w:ascii="仿宋" w:hAnsi="仿宋" w:eastAsia="仿宋"/>
          <w:color w:val="auto"/>
          <w:highlight w:val="none"/>
        </w:rPr>
      </w:pPr>
    </w:p>
    <w:p w14:paraId="154A7E53">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代理人：（签字或盖章）</w:t>
      </w:r>
    </w:p>
    <w:p w14:paraId="21C351DC">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通讯地址：                   </w:t>
      </w:r>
    </w:p>
    <w:p w14:paraId="78D699B7">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通讯电话：</w:t>
      </w:r>
    </w:p>
    <w:p w14:paraId="3B3613B1">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邮箱：</w:t>
      </w:r>
    </w:p>
    <w:p w14:paraId="15B2E00D">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身份证号码：</w:t>
      </w:r>
    </w:p>
    <w:p w14:paraId="5D6EDB1A">
      <w:pPr>
        <w:pStyle w:val="62"/>
        <w:spacing w:line="480" w:lineRule="auto"/>
        <w:rPr>
          <w:rFonts w:ascii="仿宋" w:hAnsi="仿宋" w:eastAsia="仿宋"/>
          <w:color w:val="auto"/>
          <w:highlight w:val="none"/>
        </w:rPr>
      </w:pPr>
      <w:r>
        <w:rPr>
          <w:rFonts w:hint="eastAsia" w:ascii="仿宋" w:hAnsi="仿宋" w:eastAsia="仿宋"/>
          <w:color w:val="auto"/>
          <w:highlight w:val="none"/>
        </w:rPr>
        <w:t xml:space="preserve">                                                              年    月     日</w:t>
      </w:r>
    </w:p>
    <w:p w14:paraId="0C237B9E">
      <w:pPr>
        <w:pStyle w:val="6"/>
        <w:ind w:firstLine="480"/>
        <w:rPr>
          <w:rFonts w:ascii="仿宋" w:hAnsi="仿宋" w:eastAsia="仿宋"/>
          <w:color w:val="auto"/>
          <w:highlight w:val="none"/>
        </w:rPr>
      </w:pPr>
    </w:p>
    <w:p w14:paraId="4F7C641E">
      <w:pPr>
        <w:pStyle w:val="4"/>
        <w:rPr>
          <w:rFonts w:ascii="仿宋" w:hAnsi="仿宋" w:eastAsia="仿宋"/>
          <w:bCs/>
          <w:color w:val="auto"/>
          <w:kern w:val="2"/>
          <w:szCs w:val="21"/>
          <w:highlight w:val="none"/>
          <w:u w:val="none"/>
        </w:rPr>
      </w:pPr>
      <w:r>
        <w:rPr>
          <w:rFonts w:hint="eastAsia" w:ascii="仿宋" w:hAnsi="仿宋" w:eastAsia="仿宋"/>
          <w:bCs/>
          <w:color w:val="auto"/>
          <w:kern w:val="2"/>
          <w:szCs w:val="21"/>
          <w:highlight w:val="none"/>
          <w:u w:val="none"/>
        </w:rPr>
        <w:t>附件2：</w:t>
      </w:r>
    </w:p>
    <w:p w14:paraId="325ACD61">
      <w:pPr>
        <w:pStyle w:val="4"/>
        <w:rPr>
          <w:rFonts w:ascii="仿宋" w:hAnsi="仿宋" w:eastAsia="仿宋"/>
          <w:bCs/>
          <w:color w:val="auto"/>
          <w:kern w:val="2"/>
          <w:szCs w:val="21"/>
          <w:highlight w:val="none"/>
        </w:rPr>
      </w:pPr>
    </w:p>
    <w:p w14:paraId="3EC2E841">
      <w:pPr>
        <w:spacing w:line="460" w:lineRule="exact"/>
        <w:rPr>
          <w:rFonts w:ascii="仿宋" w:hAnsi="仿宋" w:eastAsia="仿宋"/>
          <w:b/>
          <w:bCs/>
          <w:color w:val="auto"/>
          <w:sz w:val="36"/>
          <w:szCs w:val="22"/>
          <w:highlight w:val="none"/>
        </w:rPr>
      </w:pPr>
      <w:r>
        <w:rPr>
          <w:rFonts w:hint="eastAsia" w:ascii="仿宋" w:hAnsi="仿宋" w:eastAsia="仿宋"/>
          <w:b/>
          <w:bCs/>
          <w:color w:val="auto"/>
          <w:sz w:val="24"/>
          <w:highlight w:val="none"/>
        </w:rPr>
        <w:t xml:space="preserve">                       </w:t>
      </w:r>
      <w:r>
        <w:rPr>
          <w:rFonts w:hint="eastAsia" w:ascii="仿宋" w:hAnsi="仿宋" w:eastAsia="仿宋"/>
          <w:b/>
          <w:bCs/>
          <w:color w:val="auto"/>
          <w:sz w:val="44"/>
          <w:szCs w:val="44"/>
          <w:highlight w:val="none"/>
        </w:rPr>
        <w:t xml:space="preserve">   </w:t>
      </w:r>
      <w:r>
        <w:rPr>
          <w:rFonts w:hint="eastAsia" w:ascii="仿宋" w:hAnsi="仿宋" w:eastAsia="仿宋"/>
          <w:b/>
          <w:bCs/>
          <w:color w:val="auto"/>
          <w:sz w:val="36"/>
          <w:szCs w:val="22"/>
          <w:highlight w:val="none"/>
        </w:rPr>
        <w:t>声 明 函</w:t>
      </w:r>
    </w:p>
    <w:p w14:paraId="647AB232">
      <w:pPr>
        <w:spacing w:line="460" w:lineRule="exact"/>
        <w:rPr>
          <w:rFonts w:ascii="仿宋" w:hAnsi="仿宋" w:eastAsia="仿宋"/>
          <w:b/>
          <w:bCs/>
          <w:color w:val="auto"/>
          <w:sz w:val="24"/>
          <w:highlight w:val="none"/>
        </w:rPr>
      </w:pPr>
    </w:p>
    <w:p w14:paraId="165BC427">
      <w:pPr>
        <w:spacing w:line="460" w:lineRule="exact"/>
        <w:rPr>
          <w:rFonts w:ascii="仿宋" w:hAnsi="仿宋" w:eastAsia="仿宋"/>
          <w:bCs/>
          <w:color w:val="auto"/>
          <w:sz w:val="24"/>
          <w:highlight w:val="none"/>
        </w:rPr>
      </w:pPr>
      <w:r>
        <w:rPr>
          <w:rFonts w:hint="eastAsia" w:ascii="仿宋" w:hAnsi="仿宋" w:eastAsia="仿宋"/>
          <w:b/>
          <w:bCs/>
          <w:color w:val="auto"/>
          <w:sz w:val="24"/>
          <w:highlight w:val="none"/>
        </w:rPr>
        <w:t xml:space="preserve">   </w:t>
      </w:r>
      <w:r>
        <w:rPr>
          <w:rFonts w:hint="eastAsia" w:ascii="仿宋" w:hAnsi="仿宋" w:eastAsia="仿宋"/>
          <w:bCs/>
          <w:color w:val="auto"/>
          <w:sz w:val="24"/>
          <w:highlight w:val="none"/>
        </w:rPr>
        <w:t xml:space="preserve"> 本公司在此郑重声明：</w:t>
      </w:r>
    </w:p>
    <w:p w14:paraId="1D68DCF1">
      <w:pPr>
        <w:spacing w:line="4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1.本公司是有良好的商业信誉和健全的财务会议制度的；</w:t>
      </w:r>
    </w:p>
    <w:p w14:paraId="652C4CC0">
      <w:pPr>
        <w:spacing w:line="4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2.本公司是具有履行合同所必需的设备和专业技术能力的；</w:t>
      </w:r>
    </w:p>
    <w:p w14:paraId="4BF86816">
      <w:pPr>
        <w:spacing w:line="46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3.本公司是依法缴纳税收和社会保障资金的；</w:t>
      </w:r>
    </w:p>
    <w:p w14:paraId="62F3826E">
      <w:pPr>
        <w:spacing w:line="46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4.本公司参加招标活动前二年内，在经营活动中无重大违法记录，无不良行为记录，无其他法律、行政法规规定的禁止参与招投标活动的行为；</w:t>
      </w:r>
    </w:p>
    <w:p w14:paraId="601A6BC3">
      <w:pPr>
        <w:spacing w:line="46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5.本公司知晓并遵守：单位负责人为同一人或者存在直接控股、管理关系的不同供应商，不得参加同一合同项下的采购活动；</w:t>
      </w:r>
    </w:p>
    <w:p w14:paraId="2C835623">
      <w:pPr>
        <w:spacing w:line="460" w:lineRule="exact"/>
        <w:ind w:firstLine="480" w:firstLineChars="200"/>
        <w:rPr>
          <w:color w:val="auto"/>
          <w:highlight w:val="none"/>
        </w:rPr>
      </w:pPr>
      <w:r>
        <w:rPr>
          <w:rFonts w:hint="eastAsia" w:ascii="仿宋" w:hAnsi="仿宋" w:eastAsia="仿宋"/>
          <w:bCs/>
          <w:color w:val="auto"/>
          <w:sz w:val="24"/>
          <w:highlight w:val="none"/>
        </w:rPr>
        <w:t>6.本公司与采购人不存在利害关系；</w:t>
      </w:r>
    </w:p>
    <w:p w14:paraId="75D95361">
      <w:pPr>
        <w:spacing w:line="46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7.本公司提交的响应文件中所有关于供应商资格的文件、证明和陈述均是真实的、准确的。</w:t>
      </w:r>
    </w:p>
    <w:p w14:paraId="157B6EFD">
      <w:pPr>
        <w:spacing w:line="46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若与真实情况不符，本公司愿意承担由此而产生的一切后果。</w:t>
      </w:r>
    </w:p>
    <w:p w14:paraId="42CB1949">
      <w:pPr>
        <w:spacing w:line="460" w:lineRule="exact"/>
        <w:rPr>
          <w:rFonts w:ascii="仿宋" w:hAnsi="仿宋" w:eastAsia="仿宋"/>
          <w:bCs/>
          <w:color w:val="auto"/>
          <w:sz w:val="24"/>
          <w:highlight w:val="none"/>
        </w:rPr>
      </w:pPr>
    </w:p>
    <w:p w14:paraId="3E33E78C">
      <w:pPr>
        <w:spacing w:line="460" w:lineRule="exact"/>
        <w:rPr>
          <w:rFonts w:ascii="仿宋" w:hAnsi="仿宋" w:eastAsia="仿宋"/>
          <w:bCs/>
          <w:color w:val="auto"/>
          <w:sz w:val="24"/>
          <w:highlight w:val="none"/>
        </w:rPr>
      </w:pPr>
    </w:p>
    <w:p w14:paraId="34AC98A6">
      <w:pPr>
        <w:spacing w:line="460" w:lineRule="exact"/>
        <w:rPr>
          <w:rFonts w:ascii="仿宋" w:hAnsi="仿宋" w:eastAsia="仿宋"/>
          <w:bCs/>
          <w:color w:val="auto"/>
          <w:sz w:val="24"/>
          <w:highlight w:val="none"/>
        </w:rPr>
      </w:pPr>
      <w:r>
        <w:rPr>
          <w:rFonts w:hint="eastAsia" w:ascii="仿宋" w:hAnsi="仿宋" w:eastAsia="仿宋"/>
          <w:bCs/>
          <w:color w:val="auto"/>
          <w:sz w:val="24"/>
          <w:highlight w:val="none"/>
        </w:rPr>
        <w:tab/>
      </w:r>
      <w:r>
        <w:rPr>
          <w:rFonts w:hint="eastAsia" w:ascii="仿宋" w:hAnsi="仿宋" w:eastAsia="仿宋"/>
          <w:bCs/>
          <w:color w:val="auto"/>
          <w:sz w:val="24"/>
          <w:highlight w:val="none"/>
        </w:rPr>
        <w:tab/>
      </w:r>
      <w:r>
        <w:rPr>
          <w:rFonts w:hint="eastAsia" w:ascii="仿宋" w:hAnsi="仿宋" w:eastAsia="仿宋"/>
          <w:bCs/>
          <w:color w:val="auto"/>
          <w:sz w:val="24"/>
          <w:highlight w:val="none"/>
        </w:rPr>
        <w:tab/>
      </w:r>
      <w:r>
        <w:rPr>
          <w:rFonts w:hint="eastAsia" w:ascii="仿宋" w:hAnsi="仿宋" w:eastAsia="仿宋"/>
          <w:bCs/>
          <w:color w:val="auto"/>
          <w:sz w:val="24"/>
          <w:highlight w:val="none"/>
        </w:rPr>
        <w:tab/>
      </w:r>
      <w:r>
        <w:rPr>
          <w:rFonts w:hint="eastAsia" w:ascii="仿宋" w:hAnsi="仿宋" w:eastAsia="仿宋"/>
          <w:bCs/>
          <w:color w:val="auto"/>
          <w:sz w:val="24"/>
          <w:highlight w:val="none"/>
        </w:rPr>
        <w:t xml:space="preserve">        法定代表人或</w:t>
      </w:r>
      <w:r>
        <w:rPr>
          <w:rFonts w:hint="eastAsia" w:ascii="仿宋" w:hAnsi="仿宋" w:eastAsia="仿宋"/>
          <w:color w:val="auto"/>
          <w:sz w:val="24"/>
          <w:highlight w:val="none"/>
        </w:rPr>
        <w:t>授权</w:t>
      </w:r>
      <w:r>
        <w:rPr>
          <w:rFonts w:hint="eastAsia" w:ascii="仿宋" w:hAnsi="仿宋" w:eastAsia="仿宋"/>
          <w:bCs/>
          <w:color w:val="auto"/>
          <w:sz w:val="24"/>
          <w:highlight w:val="none"/>
        </w:rPr>
        <w:t>代理人（签字或盖章）：</w:t>
      </w:r>
    </w:p>
    <w:p w14:paraId="18766BEC">
      <w:pPr>
        <w:spacing w:line="460" w:lineRule="exact"/>
        <w:rPr>
          <w:rFonts w:ascii="仿宋" w:hAnsi="仿宋" w:eastAsia="仿宋"/>
          <w:bCs/>
          <w:color w:val="auto"/>
          <w:sz w:val="24"/>
          <w:highlight w:val="none"/>
        </w:rPr>
      </w:pPr>
      <w:r>
        <w:rPr>
          <w:rFonts w:hint="eastAsia" w:ascii="仿宋" w:hAnsi="仿宋" w:eastAsia="仿宋"/>
          <w:bCs/>
          <w:color w:val="auto"/>
          <w:sz w:val="24"/>
          <w:highlight w:val="none"/>
        </w:rPr>
        <w:t xml:space="preserve">                          供应商名称（盖章）：</w:t>
      </w:r>
    </w:p>
    <w:p w14:paraId="72A5981A">
      <w:pPr>
        <w:spacing w:line="460" w:lineRule="exact"/>
        <w:rPr>
          <w:rFonts w:ascii="仿宋" w:hAnsi="仿宋" w:eastAsia="仿宋"/>
          <w:bCs/>
          <w:color w:val="auto"/>
          <w:sz w:val="24"/>
          <w:highlight w:val="none"/>
        </w:rPr>
      </w:pPr>
      <w:r>
        <w:rPr>
          <w:rFonts w:hint="eastAsia" w:ascii="仿宋" w:hAnsi="仿宋" w:eastAsia="仿宋"/>
          <w:bCs/>
          <w:color w:val="auto"/>
          <w:sz w:val="24"/>
          <w:highlight w:val="none"/>
        </w:rPr>
        <w:t xml:space="preserve">               </w:t>
      </w:r>
    </w:p>
    <w:p w14:paraId="153C0CE6">
      <w:pPr>
        <w:spacing w:line="460" w:lineRule="exact"/>
        <w:jc w:val="right"/>
        <w:rPr>
          <w:rFonts w:ascii="仿宋" w:hAnsi="仿宋" w:eastAsia="仿宋"/>
          <w:bCs/>
          <w:color w:val="auto"/>
          <w:sz w:val="24"/>
          <w:highlight w:val="none"/>
        </w:rPr>
      </w:pPr>
      <w:r>
        <w:rPr>
          <w:rFonts w:hint="eastAsia" w:ascii="仿宋" w:hAnsi="仿宋" w:eastAsia="仿宋"/>
          <w:bCs/>
          <w:color w:val="auto"/>
          <w:sz w:val="24"/>
          <w:highlight w:val="none"/>
        </w:rPr>
        <w:t>年</w:t>
      </w:r>
      <w:r>
        <w:rPr>
          <w:rFonts w:hint="eastAsia" w:ascii="仿宋" w:hAnsi="仿宋" w:eastAsia="仿宋"/>
          <w:bCs/>
          <w:color w:val="auto"/>
          <w:sz w:val="24"/>
          <w:highlight w:val="none"/>
        </w:rPr>
        <w:tab/>
      </w:r>
      <w:r>
        <w:rPr>
          <w:rFonts w:hint="eastAsia" w:ascii="仿宋" w:hAnsi="仿宋" w:eastAsia="仿宋"/>
          <w:bCs/>
          <w:color w:val="auto"/>
          <w:sz w:val="24"/>
          <w:highlight w:val="none"/>
        </w:rPr>
        <w:t xml:space="preserve"> 月 </w:t>
      </w:r>
      <w:r>
        <w:rPr>
          <w:rFonts w:hint="eastAsia" w:ascii="仿宋" w:hAnsi="仿宋" w:eastAsia="仿宋"/>
          <w:bCs/>
          <w:color w:val="auto"/>
          <w:sz w:val="24"/>
          <w:highlight w:val="none"/>
        </w:rPr>
        <w:tab/>
      </w:r>
      <w:r>
        <w:rPr>
          <w:rFonts w:hint="eastAsia" w:ascii="仿宋" w:hAnsi="仿宋" w:eastAsia="仿宋"/>
          <w:bCs/>
          <w:color w:val="auto"/>
          <w:sz w:val="24"/>
          <w:highlight w:val="none"/>
        </w:rPr>
        <w:t>日</w:t>
      </w:r>
    </w:p>
    <w:p w14:paraId="23CD79E9">
      <w:pPr>
        <w:spacing w:line="460" w:lineRule="exact"/>
        <w:rPr>
          <w:rFonts w:ascii="仿宋" w:hAnsi="仿宋" w:eastAsia="仿宋"/>
          <w:bCs/>
          <w:color w:val="auto"/>
          <w:sz w:val="24"/>
          <w:highlight w:val="none"/>
        </w:rPr>
      </w:pPr>
    </w:p>
    <w:p w14:paraId="47162211">
      <w:pPr>
        <w:spacing w:line="460" w:lineRule="exact"/>
        <w:rPr>
          <w:rFonts w:ascii="仿宋" w:hAnsi="仿宋" w:eastAsia="仿宋"/>
          <w:bCs/>
          <w:color w:val="auto"/>
          <w:sz w:val="24"/>
          <w:highlight w:val="none"/>
        </w:rPr>
      </w:pPr>
    </w:p>
    <w:p w14:paraId="0906A324">
      <w:pPr>
        <w:spacing w:line="460" w:lineRule="exact"/>
        <w:rPr>
          <w:rFonts w:ascii="仿宋" w:hAnsi="仿宋" w:eastAsia="仿宋"/>
          <w:bCs/>
          <w:color w:val="auto"/>
          <w:sz w:val="24"/>
          <w:highlight w:val="none"/>
        </w:rPr>
      </w:pPr>
      <w:r>
        <w:rPr>
          <w:rFonts w:hint="eastAsia" w:ascii="仿宋" w:hAnsi="仿宋" w:eastAsia="仿宋"/>
          <w:bCs/>
          <w:color w:val="auto"/>
          <w:sz w:val="24"/>
          <w:highlight w:val="none"/>
        </w:rPr>
        <w:t xml:space="preserve">                                     </w:t>
      </w:r>
    </w:p>
    <w:p w14:paraId="7344F831">
      <w:pPr>
        <w:spacing w:line="460" w:lineRule="exact"/>
        <w:rPr>
          <w:rFonts w:ascii="仿宋" w:hAnsi="仿宋" w:eastAsia="仿宋"/>
          <w:bCs/>
          <w:color w:val="auto"/>
          <w:sz w:val="24"/>
          <w:highlight w:val="none"/>
        </w:rPr>
      </w:pPr>
    </w:p>
    <w:p w14:paraId="3B0F2F3A">
      <w:pPr>
        <w:spacing w:line="460" w:lineRule="exact"/>
        <w:rPr>
          <w:rFonts w:ascii="仿宋" w:hAnsi="仿宋" w:eastAsia="仿宋"/>
          <w:bCs/>
          <w:color w:val="auto"/>
          <w:sz w:val="24"/>
          <w:highlight w:val="none"/>
        </w:rPr>
      </w:pPr>
    </w:p>
    <w:p w14:paraId="29326011">
      <w:pPr>
        <w:spacing w:line="460" w:lineRule="exact"/>
        <w:rPr>
          <w:rFonts w:ascii="仿宋" w:hAnsi="仿宋" w:eastAsia="仿宋"/>
          <w:bCs/>
          <w:color w:val="auto"/>
          <w:sz w:val="24"/>
          <w:highlight w:val="none"/>
        </w:rPr>
      </w:pPr>
    </w:p>
    <w:p w14:paraId="6EA862A1">
      <w:pPr>
        <w:spacing w:line="460" w:lineRule="exact"/>
        <w:rPr>
          <w:rFonts w:ascii="仿宋" w:hAnsi="仿宋" w:eastAsia="仿宋"/>
          <w:bCs/>
          <w:color w:val="auto"/>
          <w:sz w:val="24"/>
          <w:highlight w:val="none"/>
        </w:rPr>
      </w:pPr>
    </w:p>
    <w:p w14:paraId="3699D62B">
      <w:pPr>
        <w:spacing w:line="460" w:lineRule="exact"/>
        <w:rPr>
          <w:rFonts w:ascii="仿宋" w:hAnsi="仿宋" w:eastAsia="仿宋"/>
          <w:bCs/>
          <w:color w:val="auto"/>
          <w:sz w:val="24"/>
          <w:highlight w:val="none"/>
        </w:rPr>
      </w:pPr>
    </w:p>
    <w:p w14:paraId="40BD68EC">
      <w:pPr>
        <w:spacing w:line="460" w:lineRule="exact"/>
        <w:rPr>
          <w:rFonts w:ascii="仿宋" w:hAnsi="仿宋" w:eastAsia="仿宋"/>
          <w:bCs/>
          <w:color w:val="auto"/>
          <w:sz w:val="24"/>
          <w:highlight w:val="none"/>
        </w:rPr>
      </w:pPr>
    </w:p>
    <w:p w14:paraId="6E43354B">
      <w:pPr>
        <w:pStyle w:val="4"/>
        <w:jc w:val="both"/>
        <w:rPr>
          <w:rFonts w:ascii="仿宋" w:hAnsi="仿宋" w:eastAsia="仿宋"/>
          <w:color w:val="auto"/>
          <w:sz w:val="36"/>
          <w:szCs w:val="36"/>
          <w:highlight w:val="none"/>
        </w:rPr>
      </w:pPr>
      <w:r>
        <w:rPr>
          <w:rFonts w:hint="eastAsia" w:ascii="仿宋" w:hAnsi="仿宋" w:eastAsia="仿宋"/>
          <w:color w:val="auto"/>
          <w:kern w:val="2"/>
          <w:szCs w:val="21"/>
          <w:highlight w:val="none"/>
          <w:u w:val="none"/>
        </w:rPr>
        <w:t>附件3：</w:t>
      </w:r>
    </w:p>
    <w:p w14:paraId="0AC48709">
      <w:pPr>
        <w:pStyle w:val="4"/>
        <w:jc w:val="center"/>
        <w:rPr>
          <w:rFonts w:ascii="仿宋" w:hAnsi="仿宋" w:eastAsia="仿宋"/>
          <w:bCs/>
          <w:color w:val="auto"/>
          <w:kern w:val="2"/>
          <w:sz w:val="36"/>
          <w:szCs w:val="22"/>
          <w:highlight w:val="none"/>
          <w:u w:val="none"/>
        </w:rPr>
      </w:pPr>
      <w:r>
        <w:rPr>
          <w:rFonts w:hint="eastAsia" w:ascii="仿宋" w:hAnsi="仿宋" w:eastAsia="仿宋"/>
          <w:bCs/>
          <w:color w:val="auto"/>
          <w:kern w:val="2"/>
          <w:sz w:val="36"/>
          <w:szCs w:val="22"/>
          <w:highlight w:val="none"/>
          <w:u w:val="none"/>
        </w:rPr>
        <w:t>响 应 函</w:t>
      </w:r>
    </w:p>
    <w:p w14:paraId="2C22B55C">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致：常州中宇建设工程管理有限公司</w:t>
      </w:r>
    </w:p>
    <w:p w14:paraId="6744480D">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我公司收到贵单位的竞争性磋商文件，经仔细阅读和研究，我公司决定参加项目编号：ZYJS-SC2025007项目的竞争性磋商活动。据此函，我公司兹宣布同意如下：</w:t>
      </w:r>
    </w:p>
    <w:p w14:paraId="53B57769">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1、按竞争性磋商文件规定的各项要求，向采购人提供所需内容。</w:t>
      </w:r>
    </w:p>
    <w:p w14:paraId="752B073F">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2、如果我们的响应文件被接受，我们将严格履行竞争性磋商文件中规定的每一项要求，按期、按质、按量履行合同的义务。</w:t>
      </w:r>
    </w:p>
    <w:p w14:paraId="3C852094">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3、我们已详细审查全部竞争性磋商文件，包括补充文件(如果有的话)，我们同意放弃提出含糊不清或误解问题的权利。</w:t>
      </w:r>
    </w:p>
    <w:p w14:paraId="043D7879">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4、我们同意从规定的开标日期起遵循本响应文件，并在规定的投标有效期期满之前均具有约束力。</w:t>
      </w:r>
    </w:p>
    <w:p w14:paraId="2E9798A1">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5、我们愿意提供采购人在竞争性磋商文件中要求的所有资料及贵方可能另外要求的与投标有关的任何证据或资料，并保证我方已提供和将要提供的文件是真实的、准确的。</w:t>
      </w:r>
    </w:p>
    <w:p w14:paraId="460108E2">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6、我们愿意遵守竞争性磋商文件中所列的服务费收费标准。</w:t>
      </w:r>
    </w:p>
    <w:p w14:paraId="758E14D3">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7、如果我们中标，我们愿意按竞争性磋商文件的规定支付中标服务费，并缴纳履约保证金。</w:t>
      </w:r>
    </w:p>
    <w:p w14:paraId="04ECD738">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8、如果我方中标,我方将根据竞争性磋商文件的规定，严格履行合同的责任和义务,并保证在竞争性磋商文件规定的时间完成项目，交付采购人验收、使用。</w:t>
      </w:r>
    </w:p>
    <w:p w14:paraId="13D20EAE">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9.与本投标有关的正式通讯地址为：</w:t>
      </w:r>
    </w:p>
    <w:p w14:paraId="081489C6">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地    址：                             邮    编：</w:t>
      </w:r>
    </w:p>
    <w:p w14:paraId="230436AC">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电    话：                             传    真：</w:t>
      </w:r>
    </w:p>
    <w:p w14:paraId="7DC91528">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供应商开户行：</w:t>
      </w:r>
    </w:p>
    <w:p w14:paraId="04D75B7D">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 xml:space="preserve">账    户： </w:t>
      </w:r>
    </w:p>
    <w:p w14:paraId="59DEDD4C">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纳税人识别号：</w:t>
      </w:r>
    </w:p>
    <w:p w14:paraId="02EE7F79">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供应商（公章）：</w:t>
      </w:r>
    </w:p>
    <w:p w14:paraId="4C85B9FE">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 xml:space="preserve">法定代表人或授权代理人（签字或盖章）： </w:t>
      </w:r>
    </w:p>
    <w:p w14:paraId="1669AAA1">
      <w:pPr>
        <w:pStyle w:val="63"/>
        <w:spacing w:before="0" w:after="0" w:line="420" w:lineRule="exact"/>
        <w:ind w:firstLineChars="200"/>
        <w:rPr>
          <w:rFonts w:ascii="仿宋" w:hAnsi="仿宋" w:eastAsia="仿宋" w:cs="仿宋"/>
          <w:color w:val="auto"/>
          <w:kern w:val="2"/>
          <w:szCs w:val="21"/>
          <w:highlight w:val="none"/>
        </w:rPr>
      </w:pPr>
      <w:r>
        <w:rPr>
          <w:rFonts w:hint="eastAsia" w:ascii="仿宋" w:hAnsi="仿宋" w:eastAsia="仿宋" w:cs="仿宋"/>
          <w:color w:val="auto"/>
          <w:kern w:val="2"/>
          <w:szCs w:val="21"/>
          <w:highlight w:val="none"/>
        </w:rPr>
        <w:t>日   期：________年____月____日</w:t>
      </w:r>
    </w:p>
    <w:p w14:paraId="4D966F38">
      <w:pPr>
        <w:snapToGrid w:val="0"/>
        <w:spacing w:before="50" w:afterLines="50"/>
        <w:jc w:val="left"/>
        <w:rPr>
          <w:rFonts w:ascii="仿宋" w:hAnsi="仿宋" w:eastAsia="仿宋"/>
          <w:color w:val="auto"/>
          <w:sz w:val="24"/>
          <w:szCs w:val="20"/>
          <w:highlight w:val="none"/>
        </w:rPr>
      </w:pPr>
      <w:r>
        <w:rPr>
          <w:rFonts w:hint="eastAsia" w:ascii="仿宋" w:hAnsi="仿宋" w:eastAsia="仿宋"/>
          <w:color w:val="auto"/>
          <w:sz w:val="44"/>
          <w:highlight w:val="none"/>
        </w:rPr>
        <w:t xml:space="preserve">          </w:t>
      </w:r>
    </w:p>
    <w:p w14:paraId="0843F822">
      <w:pPr>
        <w:pStyle w:val="4"/>
        <w:rPr>
          <w:rFonts w:ascii="仿宋" w:hAnsi="仿宋" w:eastAsia="仿宋"/>
          <w:bCs/>
          <w:color w:val="auto"/>
          <w:kern w:val="2"/>
          <w:szCs w:val="21"/>
          <w:highlight w:val="none"/>
        </w:rPr>
      </w:pPr>
      <w:r>
        <w:rPr>
          <w:rFonts w:ascii="仿宋" w:hAnsi="仿宋" w:eastAsia="仿宋"/>
          <w:b w:val="0"/>
          <w:color w:val="auto"/>
          <w:sz w:val="36"/>
          <w:szCs w:val="36"/>
          <w:highlight w:val="none"/>
        </w:rPr>
        <w:br w:type="page"/>
      </w:r>
      <w:r>
        <w:rPr>
          <w:rFonts w:hint="eastAsia" w:ascii="仿宋" w:hAnsi="仿宋" w:eastAsia="仿宋"/>
          <w:color w:val="auto"/>
          <w:kern w:val="2"/>
          <w:szCs w:val="21"/>
          <w:highlight w:val="none"/>
          <w:u w:val="none"/>
        </w:rPr>
        <w:t>附件</w:t>
      </w:r>
      <w:r>
        <w:rPr>
          <w:rFonts w:hint="eastAsia" w:ascii="仿宋" w:hAnsi="仿宋" w:eastAsia="仿宋"/>
          <w:bCs/>
          <w:color w:val="auto"/>
          <w:kern w:val="2"/>
          <w:szCs w:val="21"/>
          <w:highlight w:val="none"/>
          <w:u w:val="none"/>
        </w:rPr>
        <w:t>4</w:t>
      </w:r>
      <w:r>
        <w:rPr>
          <w:rFonts w:hint="eastAsia" w:ascii="仿宋" w:hAnsi="仿宋" w:eastAsia="仿宋"/>
          <w:color w:val="auto"/>
          <w:kern w:val="2"/>
          <w:szCs w:val="21"/>
          <w:highlight w:val="none"/>
          <w:u w:val="none"/>
        </w:rPr>
        <w:t>：</w:t>
      </w:r>
    </w:p>
    <w:p w14:paraId="50516CBE">
      <w:pPr>
        <w:pStyle w:val="4"/>
        <w:ind w:firstLine="723"/>
        <w:jc w:val="center"/>
        <w:rPr>
          <w:rFonts w:ascii="仿宋" w:hAnsi="仿宋" w:eastAsia="仿宋"/>
          <w:color w:val="auto"/>
          <w:kern w:val="2"/>
          <w:sz w:val="36"/>
          <w:szCs w:val="22"/>
          <w:highlight w:val="none"/>
          <w:u w:val="none"/>
        </w:rPr>
      </w:pPr>
      <w:r>
        <w:rPr>
          <w:rFonts w:hint="eastAsia" w:ascii="仿宋" w:hAnsi="仿宋" w:eastAsia="仿宋"/>
          <w:color w:val="auto"/>
          <w:kern w:val="2"/>
          <w:sz w:val="36"/>
          <w:szCs w:val="22"/>
          <w:highlight w:val="none"/>
          <w:u w:val="none"/>
        </w:rPr>
        <w:t>供 应 商 情 况 表</w:t>
      </w:r>
    </w:p>
    <w:p w14:paraId="7CEDFFA1">
      <w:pPr>
        <w:pStyle w:val="6"/>
        <w:overflowPunct w:val="0"/>
        <w:ind w:firstLine="480"/>
        <w:rPr>
          <w:rFonts w:ascii="仿宋" w:hAnsi="仿宋" w:eastAsia="仿宋" w:cs="仿宋"/>
          <w:color w:val="auto"/>
          <w:highlight w:val="none"/>
        </w:rPr>
      </w:pPr>
      <w:r>
        <w:rPr>
          <w:rFonts w:hint="eastAsia" w:ascii="仿宋" w:hAnsi="仿宋" w:eastAsia="仿宋" w:cs="仿宋"/>
          <w:color w:val="auto"/>
          <w:highlight w:val="none"/>
        </w:rPr>
        <w:t>供应商（盖章）：</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0"/>
        <w:gridCol w:w="2005"/>
        <w:gridCol w:w="1461"/>
        <w:gridCol w:w="2529"/>
      </w:tblGrid>
      <w:tr w14:paraId="10F96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2510" w:type="dxa"/>
            <w:vAlign w:val="center"/>
          </w:tcPr>
          <w:p w14:paraId="1AA8B937">
            <w:pPr>
              <w:pStyle w:val="6"/>
              <w:overflowPunct w:val="0"/>
              <w:autoSpaceDE/>
              <w:autoSpaceDN/>
              <w:adjustRightInd/>
              <w:spacing w:line="360" w:lineRule="auto"/>
              <w:ind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2005" w:type="dxa"/>
            <w:vAlign w:val="center"/>
          </w:tcPr>
          <w:p w14:paraId="6F73EC9D">
            <w:pPr>
              <w:pStyle w:val="6"/>
              <w:overflowPunct w:val="0"/>
              <w:ind w:firstLine="480"/>
              <w:jc w:val="both"/>
              <w:rPr>
                <w:rFonts w:ascii="仿宋" w:hAnsi="仿宋" w:eastAsia="仿宋" w:cs="仿宋"/>
                <w:color w:val="auto"/>
                <w:highlight w:val="none"/>
              </w:rPr>
            </w:pPr>
          </w:p>
        </w:tc>
        <w:tc>
          <w:tcPr>
            <w:tcW w:w="1461" w:type="dxa"/>
            <w:vAlign w:val="center"/>
          </w:tcPr>
          <w:p w14:paraId="6A7F4B99">
            <w:pPr>
              <w:pStyle w:val="6"/>
              <w:overflowPunct w:val="0"/>
              <w:ind w:firstLine="0"/>
              <w:jc w:val="both"/>
              <w:rPr>
                <w:rFonts w:ascii="仿宋" w:hAnsi="仿宋" w:eastAsia="仿宋" w:cs="仿宋"/>
                <w:color w:val="auto"/>
                <w:highlight w:val="none"/>
              </w:rPr>
            </w:pPr>
            <w:r>
              <w:rPr>
                <w:rFonts w:hint="eastAsia" w:ascii="仿宋" w:hAnsi="仿宋" w:eastAsia="仿宋" w:cs="仿宋"/>
                <w:color w:val="auto"/>
                <w:highlight w:val="none"/>
              </w:rPr>
              <w:t>成立日期</w:t>
            </w:r>
          </w:p>
        </w:tc>
        <w:tc>
          <w:tcPr>
            <w:tcW w:w="2529" w:type="dxa"/>
            <w:vAlign w:val="center"/>
          </w:tcPr>
          <w:p w14:paraId="7605EE0E">
            <w:pPr>
              <w:pStyle w:val="6"/>
              <w:overflowPunct w:val="0"/>
              <w:ind w:firstLine="480"/>
              <w:jc w:val="both"/>
              <w:rPr>
                <w:rFonts w:ascii="仿宋" w:hAnsi="仿宋" w:eastAsia="仿宋" w:cs="仿宋"/>
                <w:color w:val="auto"/>
                <w:highlight w:val="none"/>
              </w:rPr>
            </w:pPr>
          </w:p>
        </w:tc>
      </w:tr>
      <w:tr w14:paraId="07F7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510" w:type="dxa"/>
            <w:vAlign w:val="center"/>
          </w:tcPr>
          <w:p w14:paraId="093EB4D2">
            <w:pPr>
              <w:pStyle w:val="6"/>
              <w:overflowPunct w:val="0"/>
              <w:autoSpaceDE/>
              <w:autoSpaceDN/>
              <w:adjustRightInd/>
              <w:spacing w:line="360" w:lineRule="auto"/>
              <w:ind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企业地址</w:t>
            </w:r>
          </w:p>
        </w:tc>
        <w:tc>
          <w:tcPr>
            <w:tcW w:w="2005" w:type="dxa"/>
            <w:vAlign w:val="center"/>
          </w:tcPr>
          <w:p w14:paraId="5AEE965C">
            <w:pPr>
              <w:pStyle w:val="6"/>
              <w:overflowPunct w:val="0"/>
              <w:ind w:firstLine="480"/>
              <w:jc w:val="both"/>
              <w:rPr>
                <w:rFonts w:ascii="仿宋" w:hAnsi="仿宋" w:eastAsia="仿宋" w:cs="仿宋"/>
                <w:color w:val="auto"/>
                <w:highlight w:val="none"/>
              </w:rPr>
            </w:pPr>
          </w:p>
        </w:tc>
        <w:tc>
          <w:tcPr>
            <w:tcW w:w="1461" w:type="dxa"/>
            <w:vAlign w:val="center"/>
          </w:tcPr>
          <w:p w14:paraId="1EBC893C">
            <w:pPr>
              <w:pStyle w:val="6"/>
              <w:overflowPunct w:val="0"/>
              <w:ind w:firstLine="0"/>
              <w:jc w:val="both"/>
              <w:rPr>
                <w:rFonts w:ascii="仿宋" w:hAnsi="仿宋" w:eastAsia="仿宋" w:cs="仿宋"/>
                <w:color w:val="auto"/>
                <w:highlight w:val="none"/>
              </w:rPr>
            </w:pPr>
            <w:r>
              <w:rPr>
                <w:rFonts w:hint="eastAsia" w:ascii="仿宋" w:hAnsi="仿宋" w:eastAsia="仿宋" w:cs="仿宋"/>
                <w:color w:val="auto"/>
                <w:highlight w:val="none"/>
              </w:rPr>
              <w:t>注册资本</w:t>
            </w:r>
          </w:p>
        </w:tc>
        <w:tc>
          <w:tcPr>
            <w:tcW w:w="2529" w:type="dxa"/>
            <w:vAlign w:val="center"/>
          </w:tcPr>
          <w:p w14:paraId="2462AB39">
            <w:pPr>
              <w:pStyle w:val="6"/>
              <w:overflowPunct w:val="0"/>
              <w:ind w:firstLine="600" w:firstLineChars="250"/>
              <w:jc w:val="both"/>
              <w:rPr>
                <w:rFonts w:ascii="仿宋" w:hAnsi="仿宋" w:eastAsia="仿宋" w:cs="仿宋"/>
                <w:color w:val="auto"/>
                <w:highlight w:val="none"/>
              </w:rPr>
            </w:pPr>
            <w:r>
              <w:rPr>
                <w:rFonts w:hint="eastAsia" w:ascii="仿宋" w:hAnsi="仿宋" w:eastAsia="仿宋" w:cs="仿宋"/>
                <w:color w:val="auto"/>
                <w:highlight w:val="none"/>
              </w:rPr>
              <w:t>万元</w:t>
            </w:r>
          </w:p>
        </w:tc>
      </w:tr>
      <w:tr w14:paraId="0BE0E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2510" w:type="dxa"/>
            <w:vAlign w:val="center"/>
          </w:tcPr>
          <w:p w14:paraId="1FFA1DA9">
            <w:pPr>
              <w:pStyle w:val="6"/>
              <w:overflowPunct w:val="0"/>
              <w:autoSpaceDE/>
              <w:autoSpaceDN/>
              <w:adjustRightInd/>
              <w:spacing w:line="360" w:lineRule="auto"/>
              <w:ind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5995" w:type="dxa"/>
            <w:gridSpan w:val="3"/>
            <w:vAlign w:val="center"/>
          </w:tcPr>
          <w:p w14:paraId="477E49A8">
            <w:pPr>
              <w:pStyle w:val="6"/>
              <w:overflowPunct w:val="0"/>
              <w:ind w:firstLine="480"/>
              <w:jc w:val="both"/>
              <w:rPr>
                <w:rFonts w:ascii="仿宋" w:hAnsi="仿宋" w:eastAsia="仿宋" w:cs="仿宋"/>
                <w:color w:val="auto"/>
                <w:highlight w:val="none"/>
              </w:rPr>
            </w:pPr>
          </w:p>
        </w:tc>
      </w:tr>
      <w:tr w14:paraId="63432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2510" w:type="dxa"/>
            <w:vAlign w:val="center"/>
          </w:tcPr>
          <w:p w14:paraId="2DDA8D9B">
            <w:pPr>
              <w:pStyle w:val="6"/>
              <w:overflowPunct w:val="0"/>
              <w:autoSpaceDE/>
              <w:autoSpaceDN/>
              <w:adjustRightInd/>
              <w:spacing w:line="360" w:lineRule="auto"/>
              <w:ind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营业面积（含厂房）</w:t>
            </w:r>
          </w:p>
        </w:tc>
        <w:tc>
          <w:tcPr>
            <w:tcW w:w="5995" w:type="dxa"/>
            <w:gridSpan w:val="3"/>
            <w:vAlign w:val="center"/>
          </w:tcPr>
          <w:p w14:paraId="35B78FA2">
            <w:pPr>
              <w:pStyle w:val="6"/>
              <w:overflowPunct w:val="0"/>
              <w:ind w:firstLine="480"/>
              <w:jc w:val="both"/>
              <w:rPr>
                <w:rFonts w:ascii="仿宋" w:hAnsi="仿宋" w:eastAsia="仿宋" w:cs="仿宋"/>
                <w:color w:val="auto"/>
                <w:highlight w:val="none"/>
              </w:rPr>
            </w:pPr>
            <w:r>
              <w:rPr>
                <w:rFonts w:hint="eastAsia" w:ascii="仿宋" w:hAnsi="仿宋" w:eastAsia="仿宋" w:cs="仿宋"/>
                <w:color w:val="auto"/>
                <w:highlight w:val="none"/>
              </w:rPr>
              <w:t xml:space="preserve">             平方米</w:t>
            </w:r>
          </w:p>
        </w:tc>
      </w:tr>
      <w:tr w14:paraId="2FFD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7" w:hRule="atLeast"/>
          <w:jc w:val="center"/>
        </w:trPr>
        <w:tc>
          <w:tcPr>
            <w:tcW w:w="2510" w:type="dxa"/>
            <w:vAlign w:val="center"/>
          </w:tcPr>
          <w:p w14:paraId="72517BF3">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单位简历及内设机构情况</w:t>
            </w:r>
          </w:p>
        </w:tc>
        <w:tc>
          <w:tcPr>
            <w:tcW w:w="5995" w:type="dxa"/>
            <w:gridSpan w:val="3"/>
            <w:vAlign w:val="center"/>
          </w:tcPr>
          <w:p w14:paraId="0E86E9D3">
            <w:pPr>
              <w:pStyle w:val="6"/>
              <w:overflowPunct w:val="0"/>
              <w:ind w:firstLine="480"/>
              <w:jc w:val="both"/>
              <w:rPr>
                <w:rFonts w:ascii="仿宋" w:hAnsi="仿宋" w:eastAsia="仿宋" w:cs="仿宋"/>
                <w:color w:val="auto"/>
                <w:highlight w:val="none"/>
              </w:rPr>
            </w:pPr>
          </w:p>
        </w:tc>
      </w:tr>
      <w:tr w14:paraId="7741F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2510" w:type="dxa"/>
            <w:vAlign w:val="center"/>
          </w:tcPr>
          <w:p w14:paraId="00418110">
            <w:pPr>
              <w:pStyle w:val="6"/>
              <w:overflowPunct w:val="0"/>
              <w:autoSpaceDE/>
              <w:autoSpaceDN/>
              <w:adjustRightInd/>
              <w:spacing w:line="360" w:lineRule="auto"/>
              <w:ind w:firstLine="0"/>
              <w:jc w:val="both"/>
              <w:rPr>
                <w:rFonts w:ascii="仿宋" w:hAnsi="仿宋" w:eastAsia="仿宋" w:cs="仿宋"/>
                <w:color w:val="auto"/>
                <w:szCs w:val="21"/>
                <w:highlight w:val="none"/>
              </w:rPr>
            </w:pPr>
          </w:p>
          <w:p w14:paraId="5E7660F8">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p w14:paraId="22642DBA">
            <w:pPr>
              <w:pStyle w:val="6"/>
              <w:overflowPunct w:val="0"/>
              <w:autoSpaceDE/>
              <w:autoSpaceDN/>
              <w:adjustRightInd/>
              <w:spacing w:line="360" w:lineRule="auto"/>
              <w:ind w:firstLine="0"/>
              <w:jc w:val="both"/>
              <w:rPr>
                <w:rFonts w:ascii="仿宋" w:hAnsi="仿宋" w:eastAsia="仿宋" w:cs="仿宋"/>
                <w:color w:val="auto"/>
                <w:szCs w:val="21"/>
                <w:highlight w:val="none"/>
              </w:rPr>
            </w:pPr>
          </w:p>
        </w:tc>
        <w:tc>
          <w:tcPr>
            <w:tcW w:w="5995" w:type="dxa"/>
            <w:gridSpan w:val="3"/>
            <w:vAlign w:val="center"/>
          </w:tcPr>
          <w:p w14:paraId="3CAFCCB7">
            <w:pPr>
              <w:pStyle w:val="6"/>
              <w:overflowPunct w:val="0"/>
              <w:ind w:firstLine="480"/>
              <w:jc w:val="both"/>
              <w:rPr>
                <w:rFonts w:ascii="仿宋" w:hAnsi="仿宋" w:eastAsia="仿宋" w:cs="仿宋"/>
                <w:color w:val="auto"/>
                <w:highlight w:val="none"/>
              </w:rPr>
            </w:pPr>
          </w:p>
        </w:tc>
      </w:tr>
      <w:tr w14:paraId="07CF8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510" w:type="dxa"/>
            <w:vAlign w:val="center"/>
          </w:tcPr>
          <w:p w14:paraId="6D7CA552">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近三年来完成或正在履行的重大合同情况</w:t>
            </w:r>
          </w:p>
        </w:tc>
        <w:tc>
          <w:tcPr>
            <w:tcW w:w="5995" w:type="dxa"/>
            <w:gridSpan w:val="3"/>
            <w:vAlign w:val="center"/>
          </w:tcPr>
          <w:p w14:paraId="6AC489D9">
            <w:pPr>
              <w:pStyle w:val="6"/>
              <w:overflowPunct w:val="0"/>
              <w:ind w:firstLine="480"/>
              <w:jc w:val="both"/>
              <w:rPr>
                <w:rFonts w:ascii="仿宋" w:hAnsi="仿宋" w:eastAsia="仿宋" w:cs="仿宋"/>
                <w:color w:val="auto"/>
                <w:highlight w:val="none"/>
              </w:rPr>
            </w:pPr>
          </w:p>
        </w:tc>
      </w:tr>
      <w:tr w14:paraId="75A1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3" w:hRule="atLeast"/>
          <w:jc w:val="center"/>
        </w:trPr>
        <w:tc>
          <w:tcPr>
            <w:tcW w:w="2510" w:type="dxa"/>
            <w:vAlign w:val="center"/>
          </w:tcPr>
          <w:p w14:paraId="1D5BF4DE">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最近2年内在经营过程中受到何种奖励或处分</w:t>
            </w:r>
          </w:p>
        </w:tc>
        <w:tc>
          <w:tcPr>
            <w:tcW w:w="5995" w:type="dxa"/>
            <w:gridSpan w:val="3"/>
          </w:tcPr>
          <w:p w14:paraId="1821951E">
            <w:pPr>
              <w:pStyle w:val="6"/>
              <w:overflowPunct w:val="0"/>
              <w:ind w:firstLine="0"/>
              <w:jc w:val="both"/>
              <w:rPr>
                <w:rFonts w:ascii="仿宋" w:hAnsi="仿宋" w:eastAsia="仿宋" w:cs="仿宋"/>
                <w:color w:val="auto"/>
                <w:highlight w:val="none"/>
              </w:rPr>
            </w:pPr>
            <w:r>
              <w:rPr>
                <w:rFonts w:hint="eastAsia" w:ascii="仿宋" w:hAnsi="仿宋" w:eastAsia="仿宋" w:cs="仿宋"/>
                <w:color w:val="auto"/>
                <w:highlight w:val="none"/>
              </w:rPr>
              <w:t>（包括财政、工商、税务、物价、技监部门稽查情况和结果）</w:t>
            </w:r>
          </w:p>
        </w:tc>
      </w:tr>
      <w:tr w14:paraId="37B93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7" w:hRule="atLeast"/>
          <w:jc w:val="center"/>
        </w:trPr>
        <w:tc>
          <w:tcPr>
            <w:tcW w:w="2510" w:type="dxa"/>
            <w:vAlign w:val="center"/>
          </w:tcPr>
          <w:p w14:paraId="1BEAFE13">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最近3年内有无因售假、售劣或是其他原因被消费者投诉或起诉的情况及说明</w:t>
            </w:r>
          </w:p>
        </w:tc>
        <w:tc>
          <w:tcPr>
            <w:tcW w:w="5995" w:type="dxa"/>
            <w:gridSpan w:val="3"/>
          </w:tcPr>
          <w:p w14:paraId="26F60493">
            <w:pPr>
              <w:pStyle w:val="6"/>
              <w:overflowPunct w:val="0"/>
              <w:ind w:firstLine="0"/>
              <w:jc w:val="both"/>
              <w:rPr>
                <w:rFonts w:ascii="仿宋" w:hAnsi="仿宋" w:eastAsia="仿宋" w:cs="仿宋"/>
                <w:color w:val="auto"/>
                <w:highlight w:val="none"/>
              </w:rPr>
            </w:pPr>
            <w:r>
              <w:rPr>
                <w:rFonts w:hint="eastAsia" w:ascii="仿宋" w:hAnsi="仿宋" w:eastAsia="仿宋" w:cs="仿宋"/>
                <w:color w:val="auto"/>
                <w:highlight w:val="none"/>
              </w:rPr>
              <w:t>（包括解决方式和结果）</w:t>
            </w:r>
          </w:p>
        </w:tc>
      </w:tr>
      <w:tr w14:paraId="310BB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12" w:hRule="atLeast"/>
          <w:jc w:val="center"/>
        </w:trPr>
        <w:tc>
          <w:tcPr>
            <w:tcW w:w="2510" w:type="dxa"/>
            <w:vAlign w:val="center"/>
          </w:tcPr>
          <w:p w14:paraId="2B2D5F3F">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最近3年内主要负责人有无因经济犯罪被司法机关追究的情况及说明</w:t>
            </w:r>
          </w:p>
        </w:tc>
        <w:tc>
          <w:tcPr>
            <w:tcW w:w="5995" w:type="dxa"/>
            <w:gridSpan w:val="3"/>
            <w:vAlign w:val="center"/>
          </w:tcPr>
          <w:p w14:paraId="7C21DEFC">
            <w:pPr>
              <w:pStyle w:val="6"/>
              <w:overflowPunct w:val="0"/>
              <w:ind w:firstLine="480"/>
              <w:jc w:val="both"/>
              <w:rPr>
                <w:rFonts w:ascii="仿宋" w:hAnsi="仿宋" w:eastAsia="仿宋" w:cs="仿宋"/>
                <w:color w:val="auto"/>
                <w:highlight w:val="none"/>
              </w:rPr>
            </w:pPr>
          </w:p>
        </w:tc>
      </w:tr>
      <w:tr w14:paraId="20D98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2510" w:type="dxa"/>
            <w:vAlign w:val="center"/>
          </w:tcPr>
          <w:p w14:paraId="46BE09D8">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获得技术认证的工程师及简介</w:t>
            </w:r>
          </w:p>
        </w:tc>
        <w:tc>
          <w:tcPr>
            <w:tcW w:w="5995" w:type="dxa"/>
            <w:gridSpan w:val="3"/>
            <w:vAlign w:val="center"/>
          </w:tcPr>
          <w:p w14:paraId="6D9699F7">
            <w:pPr>
              <w:pStyle w:val="6"/>
              <w:overflowPunct w:val="0"/>
              <w:ind w:firstLine="480"/>
              <w:jc w:val="both"/>
              <w:rPr>
                <w:rFonts w:ascii="仿宋" w:hAnsi="仿宋" w:eastAsia="仿宋" w:cs="仿宋"/>
                <w:color w:val="auto"/>
                <w:highlight w:val="none"/>
              </w:rPr>
            </w:pPr>
          </w:p>
        </w:tc>
      </w:tr>
      <w:tr w14:paraId="15A0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2510" w:type="dxa"/>
            <w:vAlign w:val="center"/>
          </w:tcPr>
          <w:p w14:paraId="24021CAE">
            <w:pPr>
              <w:pStyle w:val="6"/>
              <w:overflowPunct w:val="0"/>
              <w:autoSpaceDE/>
              <w:autoSpaceDN/>
              <w:adjustRightInd/>
              <w:spacing w:line="360" w:lineRule="auto"/>
              <w:ind w:firstLine="0"/>
              <w:jc w:val="both"/>
              <w:rPr>
                <w:rFonts w:ascii="仿宋" w:hAnsi="仿宋" w:eastAsia="仿宋" w:cs="仿宋"/>
                <w:color w:val="auto"/>
                <w:szCs w:val="21"/>
                <w:highlight w:val="none"/>
              </w:rPr>
            </w:pPr>
            <w:r>
              <w:rPr>
                <w:rFonts w:hint="eastAsia" w:ascii="仿宋" w:hAnsi="仿宋" w:eastAsia="仿宋" w:cs="仿宋"/>
                <w:color w:val="auto"/>
                <w:szCs w:val="21"/>
                <w:highlight w:val="none"/>
              </w:rPr>
              <w:t>其他需要说明的情况</w:t>
            </w:r>
          </w:p>
        </w:tc>
        <w:tc>
          <w:tcPr>
            <w:tcW w:w="5995" w:type="dxa"/>
            <w:gridSpan w:val="3"/>
            <w:vAlign w:val="center"/>
          </w:tcPr>
          <w:p w14:paraId="09C1FB4A">
            <w:pPr>
              <w:pStyle w:val="6"/>
              <w:overflowPunct w:val="0"/>
              <w:ind w:firstLine="480"/>
              <w:jc w:val="both"/>
              <w:rPr>
                <w:rFonts w:ascii="仿宋" w:hAnsi="仿宋" w:eastAsia="仿宋" w:cs="仿宋"/>
                <w:color w:val="auto"/>
                <w:highlight w:val="none"/>
              </w:rPr>
            </w:pPr>
          </w:p>
        </w:tc>
      </w:tr>
    </w:tbl>
    <w:p w14:paraId="2A1BBFEB">
      <w:pPr>
        <w:pStyle w:val="4"/>
        <w:rPr>
          <w:rFonts w:ascii="仿宋" w:hAnsi="仿宋" w:eastAsia="仿宋"/>
          <w:bCs/>
          <w:color w:val="auto"/>
          <w:kern w:val="2"/>
          <w:szCs w:val="21"/>
          <w:highlight w:val="none"/>
          <w:u w:val="none"/>
        </w:rPr>
      </w:pPr>
      <w:r>
        <w:rPr>
          <w:rFonts w:hint="eastAsia" w:ascii="仿宋" w:hAnsi="仿宋" w:eastAsia="仿宋"/>
          <w:bCs/>
          <w:color w:val="auto"/>
          <w:kern w:val="2"/>
          <w:szCs w:val="21"/>
          <w:highlight w:val="none"/>
          <w:u w:val="none"/>
        </w:rPr>
        <w:t>附件5：</w:t>
      </w:r>
    </w:p>
    <w:p w14:paraId="4184380B">
      <w:pPr>
        <w:pStyle w:val="4"/>
        <w:ind w:firstLine="723"/>
        <w:jc w:val="center"/>
        <w:rPr>
          <w:rFonts w:ascii="仿宋" w:hAnsi="仿宋" w:eastAsia="仿宋"/>
          <w:bCs/>
          <w:color w:val="auto"/>
          <w:kern w:val="2"/>
          <w:sz w:val="36"/>
          <w:szCs w:val="22"/>
          <w:highlight w:val="none"/>
          <w:u w:val="none"/>
        </w:rPr>
      </w:pPr>
      <w:r>
        <w:rPr>
          <w:rFonts w:hint="eastAsia" w:ascii="仿宋" w:hAnsi="仿宋" w:eastAsia="仿宋"/>
          <w:bCs/>
          <w:color w:val="auto"/>
          <w:kern w:val="2"/>
          <w:sz w:val="36"/>
          <w:szCs w:val="22"/>
          <w:highlight w:val="none"/>
          <w:u w:val="none"/>
        </w:rPr>
        <w:t>报价一览表</w:t>
      </w:r>
    </w:p>
    <w:p w14:paraId="7D08B90F">
      <w:pPr>
        <w:ind w:firstLine="480"/>
        <w:rPr>
          <w:rFonts w:ascii="仿宋" w:hAnsi="仿宋" w:eastAsia="仿宋"/>
          <w:color w:val="auto"/>
          <w:sz w:val="24"/>
          <w:highlight w:val="none"/>
        </w:rPr>
      </w:pPr>
      <w:r>
        <w:rPr>
          <w:rFonts w:hint="eastAsia" w:ascii="仿宋" w:hAnsi="仿宋" w:eastAsia="仿宋"/>
          <w:color w:val="auto"/>
          <w:sz w:val="24"/>
          <w:highlight w:val="none"/>
        </w:rPr>
        <w:t>供应商（加盖公章）：</w:t>
      </w:r>
    </w:p>
    <w:p w14:paraId="2E37C9D3">
      <w:pPr>
        <w:ind w:firstLine="480"/>
        <w:rPr>
          <w:rFonts w:ascii="仿宋" w:hAnsi="仿宋" w:eastAsia="仿宋"/>
          <w:color w:val="auto"/>
          <w:sz w:val="24"/>
          <w:highlight w:val="none"/>
        </w:rPr>
      </w:pPr>
      <w:r>
        <w:rPr>
          <w:rFonts w:hint="eastAsia" w:ascii="仿宋" w:hAnsi="仿宋" w:eastAsia="仿宋"/>
          <w:color w:val="auto"/>
          <w:sz w:val="24"/>
          <w:highlight w:val="none"/>
        </w:rPr>
        <w:t>项目名称：一站式预约管理平台项目</w:t>
      </w:r>
    </w:p>
    <w:p w14:paraId="699F1455">
      <w:pPr>
        <w:ind w:firstLine="480"/>
        <w:rPr>
          <w:rFonts w:ascii="仿宋" w:hAnsi="仿宋" w:eastAsia="仿宋"/>
          <w:color w:val="auto"/>
          <w:sz w:val="24"/>
          <w:highlight w:val="none"/>
        </w:rPr>
      </w:pPr>
      <w:r>
        <w:rPr>
          <w:rFonts w:hint="eastAsia" w:ascii="仿宋" w:hAnsi="仿宋" w:eastAsia="仿宋"/>
          <w:color w:val="auto"/>
          <w:sz w:val="24"/>
          <w:highlight w:val="none"/>
        </w:rPr>
        <w:t xml:space="preserve">项目编号：ZYJS-SC2025007                  </w:t>
      </w:r>
    </w:p>
    <w:p w14:paraId="2A444457">
      <w:pPr>
        <w:ind w:firstLine="480"/>
        <w:rPr>
          <w:rFonts w:ascii="仿宋" w:hAnsi="仿宋" w:eastAsia="仿宋"/>
          <w:color w:val="auto"/>
          <w:sz w:val="24"/>
          <w:highlight w:val="none"/>
        </w:rPr>
      </w:pPr>
      <w:r>
        <w:rPr>
          <w:rFonts w:hint="eastAsia" w:ascii="仿宋" w:hAnsi="仿宋" w:eastAsia="仿宋"/>
          <w:color w:val="auto"/>
          <w:sz w:val="24"/>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5"/>
      </w:tblGrid>
      <w:tr w14:paraId="778C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6405" w:type="dxa"/>
            <w:vAlign w:val="center"/>
          </w:tcPr>
          <w:p w14:paraId="484F2EF8">
            <w:pPr>
              <w:jc w:val="center"/>
              <w:rPr>
                <w:rFonts w:ascii="仿宋" w:hAnsi="仿宋" w:eastAsia="仿宋"/>
                <w:color w:val="auto"/>
                <w:sz w:val="24"/>
                <w:highlight w:val="none"/>
              </w:rPr>
            </w:pPr>
            <w:r>
              <w:rPr>
                <w:rFonts w:hint="eastAsia" w:ascii="仿宋" w:hAnsi="仿宋" w:eastAsia="仿宋" w:cs="宋体"/>
                <w:color w:val="auto"/>
                <w:sz w:val="24"/>
                <w:highlight w:val="none"/>
              </w:rPr>
              <w:t>项目总价</w:t>
            </w:r>
          </w:p>
        </w:tc>
      </w:tr>
      <w:tr w14:paraId="3E64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6405" w:type="dxa"/>
            <w:vAlign w:val="center"/>
          </w:tcPr>
          <w:p w14:paraId="3A23E28D">
            <w:pPr>
              <w:pStyle w:val="8"/>
              <w:adjustRightInd w:val="0"/>
              <w:snapToGrid w:val="0"/>
              <w:spacing w:line="300" w:lineRule="auto"/>
              <w:rPr>
                <w:rFonts w:ascii="仿宋" w:hAnsi="仿宋" w:eastAsia="仿宋" w:cs="宋体"/>
                <w:color w:val="auto"/>
                <w:highlight w:val="none"/>
              </w:rPr>
            </w:pPr>
            <w:r>
              <w:rPr>
                <w:rFonts w:hint="eastAsia" w:ascii="仿宋" w:hAnsi="仿宋" w:eastAsia="仿宋" w:cs="宋体"/>
                <w:color w:val="auto"/>
                <w:highlight w:val="none"/>
              </w:rPr>
              <w:t>大写：</w:t>
            </w:r>
          </w:p>
          <w:p w14:paraId="1EA8CFB8">
            <w:pPr>
              <w:pStyle w:val="63"/>
              <w:spacing w:before="0" w:after="0" w:line="500" w:lineRule="exact"/>
              <w:ind w:firstLine="0"/>
              <w:rPr>
                <w:rFonts w:ascii="仿宋" w:hAnsi="仿宋" w:eastAsia="仿宋"/>
                <w:color w:val="auto"/>
                <w:kern w:val="2"/>
                <w:szCs w:val="21"/>
                <w:highlight w:val="none"/>
              </w:rPr>
            </w:pPr>
            <w:r>
              <w:rPr>
                <w:rFonts w:hint="eastAsia" w:ascii="仿宋" w:hAnsi="仿宋" w:eastAsia="仿宋" w:cs="宋体"/>
                <w:color w:val="auto"/>
                <w:highlight w:val="none"/>
              </w:rPr>
              <w:t>小写：                             （人民币）</w:t>
            </w:r>
          </w:p>
        </w:tc>
      </w:tr>
      <w:tr w14:paraId="1311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6405" w:type="dxa"/>
            <w:vAlign w:val="center"/>
          </w:tcPr>
          <w:p w14:paraId="63138DB0">
            <w:pPr>
              <w:pStyle w:val="63"/>
              <w:spacing w:before="0" w:after="0" w:line="500" w:lineRule="exact"/>
              <w:ind w:firstLine="0"/>
              <w:rPr>
                <w:rFonts w:ascii="仿宋" w:hAnsi="仿宋" w:eastAsia="仿宋" w:cs="宋体"/>
                <w:color w:val="auto"/>
                <w:highlight w:val="none"/>
              </w:rPr>
            </w:pPr>
            <w:r>
              <w:rPr>
                <w:rFonts w:hint="eastAsia" w:ascii="仿宋" w:hAnsi="仿宋" w:eastAsia="仿宋" w:cs="宋体"/>
                <w:color w:val="auto"/>
                <w:highlight w:val="none"/>
              </w:rPr>
              <w:t>合同履约期限：</w:t>
            </w:r>
          </w:p>
        </w:tc>
      </w:tr>
    </w:tbl>
    <w:p w14:paraId="291ED9FC">
      <w:pPr>
        <w:rPr>
          <w:rFonts w:ascii="仿宋" w:hAnsi="仿宋" w:eastAsia="仿宋"/>
          <w:color w:val="auto"/>
          <w:sz w:val="24"/>
          <w:highlight w:val="none"/>
        </w:rPr>
      </w:pPr>
    </w:p>
    <w:p w14:paraId="0112B698">
      <w:pPr>
        <w:rPr>
          <w:rFonts w:ascii="仿宋" w:hAnsi="仿宋" w:eastAsia="仿宋"/>
          <w:color w:val="auto"/>
          <w:sz w:val="24"/>
          <w:highlight w:val="none"/>
        </w:rPr>
      </w:pPr>
    </w:p>
    <w:p w14:paraId="2D28F445">
      <w:pPr>
        <w:rPr>
          <w:rFonts w:ascii="仿宋" w:hAnsi="仿宋" w:eastAsia="仿宋"/>
          <w:color w:val="auto"/>
          <w:sz w:val="24"/>
          <w:highlight w:val="none"/>
        </w:rPr>
      </w:pPr>
    </w:p>
    <w:p w14:paraId="60A076DC">
      <w:pPr>
        <w:rPr>
          <w:rFonts w:ascii="仿宋" w:hAnsi="仿宋" w:eastAsia="仿宋"/>
          <w:color w:val="auto"/>
          <w:sz w:val="24"/>
          <w:highlight w:val="none"/>
        </w:rPr>
      </w:pPr>
    </w:p>
    <w:p w14:paraId="391C0A7D">
      <w:pPr>
        <w:rPr>
          <w:rFonts w:ascii="仿宋" w:hAnsi="仿宋" w:eastAsia="仿宋"/>
          <w:color w:val="auto"/>
          <w:sz w:val="24"/>
          <w:highlight w:val="none"/>
        </w:rPr>
      </w:pPr>
      <w:r>
        <w:rPr>
          <w:rFonts w:hint="eastAsia" w:ascii="仿宋" w:hAnsi="仿宋" w:eastAsia="仿宋"/>
          <w:color w:val="auto"/>
          <w:sz w:val="24"/>
          <w:highlight w:val="none"/>
        </w:rPr>
        <w:t>法定代表人或授权代理人（签字或盖章）：</w:t>
      </w:r>
    </w:p>
    <w:p w14:paraId="44FCBB97">
      <w:pPr>
        <w:rPr>
          <w:rFonts w:ascii="仿宋" w:hAnsi="仿宋" w:eastAsia="仿宋"/>
          <w:color w:val="auto"/>
          <w:sz w:val="24"/>
          <w:highlight w:val="none"/>
        </w:rPr>
      </w:pPr>
    </w:p>
    <w:p w14:paraId="0116DBCA">
      <w:pPr>
        <w:ind w:firstLine="480"/>
        <w:rPr>
          <w:rFonts w:ascii="仿宋" w:hAnsi="仿宋" w:eastAsia="仿宋"/>
          <w:color w:val="auto"/>
          <w:sz w:val="24"/>
          <w:highlight w:val="none"/>
        </w:rPr>
      </w:pPr>
      <w:r>
        <w:rPr>
          <w:rFonts w:hint="eastAsia" w:ascii="仿宋" w:hAnsi="仿宋" w:eastAsia="仿宋"/>
          <w:color w:val="auto"/>
          <w:sz w:val="24"/>
          <w:highlight w:val="none"/>
        </w:rPr>
        <w:t xml:space="preserve">                                             日期：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EC67B04">
      <w:pPr>
        <w:rPr>
          <w:rFonts w:ascii="仿宋" w:hAnsi="仿宋" w:eastAsia="仿宋"/>
          <w:color w:val="auto"/>
          <w:sz w:val="24"/>
          <w:highlight w:val="none"/>
        </w:rPr>
      </w:pPr>
    </w:p>
    <w:p w14:paraId="59AF3BCB">
      <w:pPr>
        <w:rPr>
          <w:rFonts w:ascii="仿宋" w:hAnsi="仿宋" w:eastAsia="仿宋"/>
          <w:color w:val="auto"/>
          <w:sz w:val="24"/>
          <w:highlight w:val="none"/>
        </w:rPr>
      </w:pPr>
    </w:p>
    <w:p w14:paraId="28EDB7C9">
      <w:pPr>
        <w:rPr>
          <w:rFonts w:ascii="仿宋" w:hAnsi="仿宋" w:eastAsia="仿宋"/>
          <w:color w:val="auto"/>
          <w:sz w:val="24"/>
          <w:highlight w:val="none"/>
          <w:u w:val="single"/>
        </w:rPr>
      </w:pPr>
      <w:r>
        <w:rPr>
          <w:rFonts w:hint="eastAsia" w:ascii="仿宋" w:hAnsi="仿宋" w:eastAsia="仿宋"/>
          <w:color w:val="auto"/>
          <w:sz w:val="24"/>
          <w:highlight w:val="none"/>
        </w:rPr>
        <w:t>注：</w:t>
      </w:r>
      <w:r>
        <w:rPr>
          <w:rFonts w:hint="eastAsia" w:ascii="仿宋" w:hAnsi="仿宋" w:eastAsia="仿宋"/>
          <w:bCs/>
          <w:iCs/>
          <w:color w:val="auto"/>
          <w:sz w:val="24"/>
          <w:highlight w:val="none"/>
        </w:rPr>
        <w:t>报价一览表必须加盖供应商公章，由法定代表人或授权代理人签字</w:t>
      </w:r>
      <w:r>
        <w:rPr>
          <w:rFonts w:ascii="仿宋" w:hAnsi="仿宋" w:eastAsia="仿宋"/>
          <w:bCs/>
          <w:iCs/>
          <w:color w:val="auto"/>
          <w:sz w:val="24"/>
          <w:highlight w:val="none"/>
        </w:rPr>
        <w:t>或盖章</w:t>
      </w:r>
      <w:r>
        <w:rPr>
          <w:rFonts w:hint="eastAsia" w:ascii="仿宋" w:hAnsi="仿宋" w:eastAsia="仿宋"/>
          <w:bCs/>
          <w:iCs/>
          <w:color w:val="auto"/>
          <w:sz w:val="24"/>
          <w:highlight w:val="none"/>
        </w:rPr>
        <w:t>（复印件无效）</w:t>
      </w:r>
      <w:r>
        <w:rPr>
          <w:rFonts w:hint="eastAsia" w:ascii="仿宋" w:hAnsi="仿宋" w:eastAsia="仿宋"/>
          <w:color w:val="auto"/>
          <w:sz w:val="24"/>
          <w:highlight w:val="none"/>
        </w:rPr>
        <w:t>。</w:t>
      </w:r>
    </w:p>
    <w:p w14:paraId="3A829CC1">
      <w:pPr>
        <w:pStyle w:val="4"/>
        <w:ind w:firstLine="200"/>
        <w:jc w:val="center"/>
        <w:rPr>
          <w:rFonts w:ascii="仿宋" w:hAnsi="仿宋" w:eastAsia="仿宋" w:cs="仿宋"/>
          <w:bCs/>
          <w:color w:val="auto"/>
          <w:kern w:val="2"/>
          <w:sz w:val="36"/>
          <w:szCs w:val="22"/>
          <w:highlight w:val="none"/>
          <w:u w:val="none"/>
        </w:rPr>
      </w:pPr>
    </w:p>
    <w:p w14:paraId="122FB26D">
      <w:pPr>
        <w:pStyle w:val="4"/>
        <w:ind w:firstLine="200"/>
        <w:jc w:val="center"/>
        <w:rPr>
          <w:rFonts w:ascii="仿宋" w:hAnsi="仿宋" w:eastAsia="仿宋" w:cs="仿宋"/>
          <w:bCs/>
          <w:color w:val="auto"/>
          <w:kern w:val="2"/>
          <w:sz w:val="36"/>
          <w:szCs w:val="22"/>
          <w:highlight w:val="none"/>
          <w:u w:val="none"/>
        </w:rPr>
      </w:pPr>
    </w:p>
    <w:p w14:paraId="60C34932">
      <w:pPr>
        <w:pStyle w:val="4"/>
        <w:ind w:firstLine="200"/>
        <w:jc w:val="center"/>
        <w:rPr>
          <w:rFonts w:ascii="仿宋" w:hAnsi="仿宋" w:eastAsia="仿宋" w:cs="仿宋"/>
          <w:bCs/>
          <w:color w:val="auto"/>
          <w:kern w:val="2"/>
          <w:sz w:val="36"/>
          <w:szCs w:val="22"/>
          <w:highlight w:val="none"/>
          <w:u w:val="none"/>
        </w:rPr>
      </w:pPr>
    </w:p>
    <w:p w14:paraId="37F6AF51">
      <w:pPr>
        <w:rPr>
          <w:rFonts w:ascii="仿宋" w:hAnsi="仿宋" w:eastAsia="仿宋" w:cs="仿宋"/>
          <w:bCs/>
          <w:color w:val="auto"/>
          <w:sz w:val="36"/>
          <w:szCs w:val="22"/>
          <w:highlight w:val="none"/>
        </w:rPr>
      </w:pPr>
    </w:p>
    <w:p w14:paraId="6CA60730">
      <w:pPr>
        <w:pStyle w:val="21"/>
        <w:ind w:firstLine="400"/>
        <w:rPr>
          <w:rFonts w:ascii="仿宋" w:hAnsi="仿宋" w:eastAsia="仿宋"/>
          <w:bCs/>
          <w:color w:val="auto"/>
          <w:szCs w:val="21"/>
          <w:highlight w:val="none"/>
        </w:rPr>
      </w:pPr>
    </w:p>
    <w:p w14:paraId="1A9F565A">
      <w:pPr>
        <w:rPr>
          <w:rFonts w:ascii="仿宋" w:hAnsi="仿宋" w:eastAsia="仿宋"/>
          <w:bCs/>
          <w:color w:val="auto"/>
          <w:szCs w:val="21"/>
          <w:highlight w:val="none"/>
        </w:rPr>
      </w:pPr>
    </w:p>
    <w:p w14:paraId="2B55391B">
      <w:pPr>
        <w:pStyle w:val="21"/>
        <w:ind w:firstLine="400"/>
        <w:rPr>
          <w:rFonts w:ascii="仿宋" w:hAnsi="仿宋" w:eastAsia="仿宋"/>
          <w:bCs/>
          <w:color w:val="auto"/>
          <w:szCs w:val="21"/>
          <w:highlight w:val="none"/>
        </w:rPr>
      </w:pPr>
    </w:p>
    <w:p w14:paraId="4FD45C85">
      <w:pPr>
        <w:pStyle w:val="4"/>
        <w:rPr>
          <w:rFonts w:ascii="仿宋" w:hAnsi="仿宋" w:eastAsia="仿宋"/>
          <w:bCs/>
          <w:color w:val="auto"/>
          <w:szCs w:val="21"/>
          <w:highlight w:val="none"/>
          <w:u w:val="none"/>
        </w:rPr>
      </w:pPr>
      <w:r>
        <w:rPr>
          <w:rFonts w:hint="eastAsia" w:ascii="仿宋" w:hAnsi="仿宋" w:eastAsia="仿宋"/>
          <w:bCs/>
          <w:color w:val="auto"/>
          <w:kern w:val="2"/>
          <w:szCs w:val="21"/>
          <w:highlight w:val="none"/>
          <w:u w:val="none"/>
        </w:rPr>
        <w:t>附件6：</w:t>
      </w:r>
    </w:p>
    <w:p w14:paraId="7112B9F1">
      <w:pPr>
        <w:pStyle w:val="4"/>
        <w:ind w:firstLine="200"/>
        <w:jc w:val="center"/>
        <w:rPr>
          <w:rFonts w:ascii="仿宋" w:hAnsi="仿宋" w:eastAsia="仿宋" w:cs="仿宋"/>
          <w:color w:val="auto"/>
          <w:highlight w:val="none"/>
        </w:rPr>
      </w:pPr>
      <w:r>
        <w:rPr>
          <w:rFonts w:hint="eastAsia" w:ascii="仿宋" w:hAnsi="仿宋" w:eastAsia="仿宋" w:cs="仿宋"/>
          <w:bCs/>
          <w:color w:val="auto"/>
          <w:kern w:val="2"/>
          <w:sz w:val="36"/>
          <w:szCs w:val="22"/>
          <w:highlight w:val="none"/>
          <w:u w:val="none"/>
        </w:rPr>
        <w:t>偏 离 表（商务、技术和服务条款）</w:t>
      </w:r>
    </w:p>
    <w:p w14:paraId="69F1B48E">
      <w:pPr>
        <w:rPr>
          <w:rFonts w:ascii="仿宋" w:hAnsi="仿宋" w:eastAsia="仿宋" w:cs="仿宋"/>
          <w:color w:val="auto"/>
          <w:sz w:val="24"/>
          <w:highlight w:val="none"/>
        </w:rPr>
      </w:pPr>
      <w:r>
        <w:rPr>
          <w:rFonts w:hint="eastAsia" w:ascii="仿宋" w:hAnsi="仿宋" w:eastAsia="仿宋" w:cs="仿宋"/>
          <w:color w:val="auto"/>
          <w:sz w:val="24"/>
          <w:highlight w:val="none"/>
        </w:rPr>
        <w:t>供应商应对磋商文件中规定的商务（如质保期、交货期、付款方式）及技术部分给予充分的考虑。</w:t>
      </w:r>
    </w:p>
    <w:p w14:paraId="100EF58B">
      <w:pPr>
        <w:numPr>
          <w:ilvl w:val="0"/>
          <w:numId w:val="5"/>
        </w:numPr>
        <w:rPr>
          <w:rFonts w:ascii="仿宋" w:hAnsi="仿宋" w:eastAsia="仿宋" w:cs="仿宋"/>
          <w:b/>
          <w:bCs/>
          <w:color w:val="auto"/>
          <w:sz w:val="24"/>
          <w:highlight w:val="none"/>
        </w:rPr>
      </w:pPr>
      <w:r>
        <w:rPr>
          <w:rFonts w:hint="eastAsia" w:ascii="仿宋" w:hAnsi="仿宋" w:eastAsia="仿宋" w:cs="仿宋"/>
          <w:b/>
          <w:bCs/>
          <w:color w:val="auto"/>
          <w:sz w:val="24"/>
          <w:highlight w:val="none"/>
        </w:rPr>
        <w:t>为了评审的需要，供应商应将技术条款中打▲号指标逐条进行描述并根据以下要求的格式提出“符合、正偏离或负偏离”，并提供证明材料（如有要求），否则作为负偏离。</w:t>
      </w:r>
    </w:p>
    <w:p w14:paraId="3CB2EF36">
      <w:pPr>
        <w:numPr>
          <w:ilvl w:val="255"/>
          <w:numId w:val="0"/>
        </w:numPr>
        <w:rPr>
          <w:rFonts w:ascii="仿宋" w:hAnsi="仿宋" w:eastAsia="仿宋" w:cs="仿宋"/>
          <w:b/>
          <w:bCs/>
          <w:color w:val="auto"/>
          <w:kern w:val="0"/>
          <w:sz w:val="24"/>
          <w:szCs w:val="18"/>
          <w:highlight w:val="none"/>
        </w:rPr>
      </w:pPr>
      <w:r>
        <w:rPr>
          <w:rFonts w:hint="eastAsia" w:ascii="仿宋" w:hAnsi="仿宋" w:eastAsia="仿宋" w:cs="仿宋"/>
          <w:b/>
          <w:bCs/>
          <w:color w:val="auto"/>
          <w:kern w:val="0"/>
          <w:sz w:val="24"/>
          <w:szCs w:val="18"/>
          <w:highlight w:val="none"/>
        </w:rPr>
        <w:t>2.技术条款中其他指标如有偏离，应在本表中详细列出，如无偏离，请在本部分写“完全响应其他技术指标要求，无偏离”。</w:t>
      </w:r>
    </w:p>
    <w:p w14:paraId="79D90172">
      <w:pPr>
        <w:numPr>
          <w:ilvl w:val="255"/>
          <w:numId w:val="0"/>
        </w:numP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3.商务条款如无偏离，请在商务条款部分写“完全响应商务条款要求，无偏离”，并按格式要求盖章签字附在响应文件中。 </w:t>
      </w:r>
    </w:p>
    <w:p w14:paraId="5C1E558B">
      <w:pPr>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olor w:val="auto"/>
          <w:sz w:val="24"/>
          <w:highlight w:val="none"/>
        </w:rPr>
        <w:t xml:space="preserve">ZYJS-SC2025007 </w:t>
      </w:r>
    </w:p>
    <w:p w14:paraId="385E4C7C">
      <w:pPr>
        <w:rPr>
          <w:rFonts w:ascii="仿宋" w:hAnsi="仿宋" w:eastAsia="仿宋" w:cs="仿宋"/>
          <w:color w:val="auto"/>
          <w:sz w:val="24"/>
          <w:highlight w:val="none"/>
        </w:rPr>
      </w:pPr>
    </w:p>
    <w:tbl>
      <w:tblPr>
        <w:tblStyle w:val="22"/>
        <w:tblW w:w="9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919"/>
        <w:gridCol w:w="2068"/>
        <w:gridCol w:w="2462"/>
        <w:gridCol w:w="2285"/>
        <w:gridCol w:w="1018"/>
      </w:tblGrid>
      <w:tr w14:paraId="555A6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0" w:hRule="atLeast"/>
          <w:jc w:val="center"/>
        </w:trPr>
        <w:tc>
          <w:tcPr>
            <w:tcW w:w="1919" w:type="dxa"/>
            <w:vAlign w:val="center"/>
          </w:tcPr>
          <w:p w14:paraId="605A0492">
            <w:pPr>
              <w:keepNext/>
              <w:autoSpaceDE w:val="0"/>
              <w:autoSpaceDN w:val="0"/>
              <w:adjustRightInd w:val="0"/>
              <w:snapToGrid w:val="0"/>
              <w:spacing w:line="360" w:lineRule="auto"/>
              <w:jc w:val="center"/>
              <w:rPr>
                <w:rFonts w:ascii="仿宋" w:hAnsi="仿宋" w:eastAsia="仿宋" w:cs="仿宋"/>
                <w:b/>
                <w:color w:val="auto"/>
                <w:sz w:val="20"/>
                <w:highlight w:val="none"/>
              </w:rPr>
            </w:pPr>
            <w:r>
              <w:rPr>
                <w:rFonts w:hint="eastAsia" w:ascii="仿宋" w:hAnsi="仿宋" w:eastAsia="仿宋" w:cs="仿宋"/>
                <w:b/>
                <w:bCs/>
                <w:color w:val="auto"/>
                <w:szCs w:val="21"/>
                <w:highlight w:val="none"/>
              </w:rPr>
              <w:t>技术</w:t>
            </w:r>
            <w:r>
              <w:rPr>
                <w:rFonts w:hint="eastAsia" w:ascii="仿宋" w:hAnsi="仿宋" w:eastAsia="仿宋" w:cs="仿宋"/>
                <w:b/>
                <w:bCs/>
                <w:color w:val="auto"/>
                <w:szCs w:val="21"/>
                <w:highlight w:val="none"/>
                <w:lang w:val="zh-CN"/>
              </w:rPr>
              <w:t>名称或商务条款类别</w:t>
            </w:r>
          </w:p>
        </w:tc>
        <w:tc>
          <w:tcPr>
            <w:tcW w:w="2068" w:type="dxa"/>
            <w:vAlign w:val="center"/>
          </w:tcPr>
          <w:p w14:paraId="348E29E6">
            <w:pPr>
              <w:keepNext/>
              <w:autoSpaceDE w:val="0"/>
              <w:autoSpaceDN w:val="0"/>
              <w:adjustRightInd w:val="0"/>
              <w:snapToGrid w:val="0"/>
              <w:spacing w:line="360" w:lineRule="auto"/>
              <w:jc w:val="center"/>
              <w:rPr>
                <w:rFonts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磋商文件</w:t>
            </w:r>
          </w:p>
          <w:p w14:paraId="38B8EF71">
            <w:pPr>
              <w:keepNext/>
              <w:autoSpaceDE w:val="0"/>
              <w:autoSpaceDN w:val="0"/>
              <w:adjustRightInd w:val="0"/>
              <w:snapToGrid w:val="0"/>
              <w:spacing w:line="360" w:lineRule="auto"/>
              <w:jc w:val="center"/>
              <w:rPr>
                <w:rFonts w:ascii="仿宋" w:hAnsi="仿宋" w:eastAsia="仿宋" w:cs="仿宋"/>
                <w:b/>
                <w:color w:val="auto"/>
                <w:sz w:val="20"/>
                <w:highlight w:val="none"/>
              </w:rPr>
            </w:pPr>
            <w:r>
              <w:rPr>
                <w:rFonts w:hint="eastAsia" w:ascii="仿宋" w:hAnsi="仿宋" w:eastAsia="仿宋" w:cs="仿宋"/>
                <w:b/>
                <w:bCs/>
                <w:color w:val="auto"/>
                <w:szCs w:val="21"/>
                <w:highlight w:val="none"/>
                <w:lang w:val="zh-CN"/>
              </w:rPr>
              <w:t>具体要求</w:t>
            </w:r>
          </w:p>
        </w:tc>
        <w:tc>
          <w:tcPr>
            <w:tcW w:w="2462" w:type="dxa"/>
            <w:vAlign w:val="center"/>
          </w:tcPr>
          <w:p w14:paraId="2AB9A287">
            <w:pPr>
              <w:keepNext/>
              <w:autoSpaceDE w:val="0"/>
              <w:autoSpaceDN w:val="0"/>
              <w:adjustRightInd w:val="0"/>
              <w:snapToGrid w:val="0"/>
              <w:spacing w:line="360" w:lineRule="auto"/>
              <w:jc w:val="center"/>
              <w:rPr>
                <w:rFonts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响应设备参数或</w:t>
            </w:r>
          </w:p>
          <w:p w14:paraId="7BE8DFC9">
            <w:pPr>
              <w:keepNext/>
              <w:autoSpaceDE w:val="0"/>
              <w:autoSpaceDN w:val="0"/>
              <w:adjustRightInd w:val="0"/>
              <w:snapToGrid w:val="0"/>
              <w:spacing w:line="360" w:lineRule="auto"/>
              <w:jc w:val="center"/>
              <w:rPr>
                <w:rFonts w:ascii="仿宋" w:hAnsi="仿宋" w:eastAsia="仿宋" w:cs="仿宋"/>
                <w:b/>
                <w:color w:val="auto"/>
                <w:sz w:val="20"/>
                <w:highlight w:val="none"/>
              </w:rPr>
            </w:pPr>
            <w:r>
              <w:rPr>
                <w:rFonts w:hint="eastAsia" w:ascii="仿宋" w:hAnsi="仿宋" w:eastAsia="仿宋" w:cs="仿宋"/>
                <w:b/>
                <w:bCs/>
                <w:color w:val="auto"/>
                <w:szCs w:val="21"/>
                <w:highlight w:val="none"/>
                <w:lang w:val="zh-CN"/>
              </w:rPr>
              <w:t>响应内容</w:t>
            </w:r>
          </w:p>
        </w:tc>
        <w:tc>
          <w:tcPr>
            <w:tcW w:w="2285" w:type="dxa"/>
            <w:tcBorders>
              <w:right w:val="single" w:color="000000" w:sz="8" w:space="0"/>
            </w:tcBorders>
            <w:vAlign w:val="center"/>
          </w:tcPr>
          <w:p w14:paraId="6BD3713F">
            <w:pPr>
              <w:keepNext/>
              <w:autoSpaceDE w:val="0"/>
              <w:autoSpaceDN w:val="0"/>
              <w:adjustRightInd w:val="0"/>
              <w:snapToGrid w:val="0"/>
              <w:spacing w:line="360" w:lineRule="auto"/>
              <w:jc w:val="center"/>
              <w:rPr>
                <w:rFonts w:ascii="仿宋" w:hAnsi="仿宋" w:eastAsia="仿宋" w:cs="仿宋"/>
                <w:b/>
                <w:color w:val="auto"/>
                <w:sz w:val="20"/>
                <w:highlight w:val="none"/>
              </w:rPr>
            </w:pPr>
            <w:r>
              <w:rPr>
                <w:rFonts w:hint="eastAsia" w:ascii="仿宋" w:hAnsi="仿宋" w:eastAsia="仿宋" w:cs="仿宋"/>
                <w:b/>
                <w:bCs/>
                <w:color w:val="auto"/>
                <w:szCs w:val="21"/>
                <w:highlight w:val="none"/>
                <w:lang w:val="zh-CN"/>
              </w:rPr>
              <w:t>符合、正偏离或负偏离</w:t>
            </w:r>
          </w:p>
        </w:tc>
        <w:tc>
          <w:tcPr>
            <w:tcW w:w="1018" w:type="dxa"/>
            <w:tcBorders>
              <w:right w:val="single" w:color="000000" w:sz="8" w:space="0"/>
            </w:tcBorders>
            <w:vAlign w:val="center"/>
          </w:tcPr>
          <w:p w14:paraId="575658C7">
            <w:pPr>
              <w:keepNext/>
              <w:autoSpaceDE w:val="0"/>
              <w:autoSpaceDN w:val="0"/>
              <w:adjustRightInd w:val="0"/>
              <w:snapToGrid w:val="0"/>
              <w:spacing w:line="360" w:lineRule="auto"/>
              <w:jc w:val="center"/>
              <w:rPr>
                <w:rFonts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证明材料所在页码</w:t>
            </w:r>
          </w:p>
        </w:tc>
      </w:tr>
      <w:tr w14:paraId="6DE9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8734" w:type="dxa"/>
            <w:gridSpan w:val="4"/>
            <w:tcBorders>
              <w:right w:val="single" w:color="000000" w:sz="8" w:space="0"/>
            </w:tcBorders>
            <w:vAlign w:val="center"/>
          </w:tcPr>
          <w:p w14:paraId="7B0CB203">
            <w:pPr>
              <w:widowControl/>
              <w:numPr>
                <w:ilvl w:val="255"/>
                <w:numId w:val="0"/>
              </w:numPr>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为了评审的需要，供应商应将技术条款中打▲号指标逐条进行描述并根据以下要求的格式提出“符合、正偏离或负偏离”，并提供证明材料（如有要求），否则作为负偏离。</w:t>
            </w:r>
          </w:p>
        </w:tc>
        <w:tc>
          <w:tcPr>
            <w:tcW w:w="1018" w:type="dxa"/>
            <w:tcBorders>
              <w:right w:val="single" w:color="000000" w:sz="8" w:space="0"/>
            </w:tcBorders>
            <w:vAlign w:val="center"/>
          </w:tcPr>
          <w:p w14:paraId="7EB153CB">
            <w:pPr>
              <w:widowControl/>
              <w:numPr>
                <w:ilvl w:val="255"/>
                <w:numId w:val="0"/>
              </w:numPr>
              <w:jc w:val="left"/>
              <w:rPr>
                <w:rFonts w:ascii="仿宋" w:hAnsi="仿宋" w:eastAsia="仿宋" w:cs="仿宋"/>
                <w:b/>
                <w:bCs/>
                <w:color w:val="auto"/>
                <w:sz w:val="24"/>
                <w:highlight w:val="none"/>
              </w:rPr>
            </w:pPr>
          </w:p>
        </w:tc>
      </w:tr>
      <w:tr w14:paraId="319D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4" w:hRule="atLeast"/>
          <w:jc w:val="center"/>
        </w:trPr>
        <w:tc>
          <w:tcPr>
            <w:tcW w:w="1919" w:type="dxa"/>
            <w:vAlign w:val="center"/>
          </w:tcPr>
          <w:p w14:paraId="462397C8">
            <w:pPr>
              <w:jc w:val="left"/>
              <w:rPr>
                <w:rFonts w:ascii="仿宋" w:hAnsi="仿宋" w:eastAsia="仿宋" w:cs="仿宋"/>
                <w:b/>
                <w:color w:val="auto"/>
                <w:sz w:val="20"/>
                <w:highlight w:val="none"/>
              </w:rPr>
            </w:pPr>
          </w:p>
        </w:tc>
        <w:tc>
          <w:tcPr>
            <w:tcW w:w="2068" w:type="dxa"/>
            <w:vAlign w:val="center"/>
          </w:tcPr>
          <w:p w14:paraId="45EDA5D0">
            <w:pPr>
              <w:jc w:val="left"/>
              <w:rPr>
                <w:rFonts w:ascii="仿宋" w:hAnsi="仿宋" w:eastAsia="仿宋" w:cs="仿宋"/>
                <w:b/>
                <w:color w:val="auto"/>
                <w:sz w:val="20"/>
                <w:highlight w:val="none"/>
              </w:rPr>
            </w:pPr>
          </w:p>
        </w:tc>
        <w:tc>
          <w:tcPr>
            <w:tcW w:w="2462" w:type="dxa"/>
            <w:vAlign w:val="center"/>
          </w:tcPr>
          <w:p w14:paraId="6BED69C6">
            <w:pPr>
              <w:jc w:val="left"/>
              <w:rPr>
                <w:rFonts w:ascii="仿宋" w:hAnsi="仿宋" w:eastAsia="仿宋" w:cs="仿宋"/>
                <w:color w:val="auto"/>
                <w:sz w:val="20"/>
                <w:highlight w:val="none"/>
              </w:rPr>
            </w:pPr>
          </w:p>
        </w:tc>
        <w:tc>
          <w:tcPr>
            <w:tcW w:w="2285" w:type="dxa"/>
            <w:tcBorders>
              <w:right w:val="single" w:color="000000" w:sz="8" w:space="0"/>
            </w:tcBorders>
            <w:vAlign w:val="center"/>
          </w:tcPr>
          <w:p w14:paraId="69952AA5">
            <w:pPr>
              <w:widowControl/>
              <w:jc w:val="left"/>
              <w:textAlignment w:val="center"/>
              <w:rPr>
                <w:rFonts w:ascii="仿宋" w:hAnsi="仿宋" w:eastAsia="仿宋" w:cs="仿宋"/>
                <w:color w:val="auto"/>
                <w:kern w:val="0"/>
                <w:sz w:val="20"/>
                <w:highlight w:val="none"/>
              </w:rPr>
            </w:pPr>
          </w:p>
        </w:tc>
        <w:tc>
          <w:tcPr>
            <w:tcW w:w="1018" w:type="dxa"/>
            <w:tcBorders>
              <w:right w:val="single" w:color="000000" w:sz="8" w:space="0"/>
            </w:tcBorders>
            <w:vAlign w:val="center"/>
          </w:tcPr>
          <w:p w14:paraId="3C7FA6C5">
            <w:pPr>
              <w:widowControl/>
              <w:jc w:val="left"/>
              <w:textAlignment w:val="center"/>
              <w:rPr>
                <w:rFonts w:ascii="仿宋" w:hAnsi="仿宋" w:eastAsia="仿宋" w:cs="仿宋"/>
                <w:color w:val="auto"/>
                <w:kern w:val="0"/>
                <w:sz w:val="20"/>
                <w:highlight w:val="none"/>
              </w:rPr>
            </w:pPr>
          </w:p>
        </w:tc>
      </w:tr>
      <w:tr w14:paraId="4C94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9752" w:type="dxa"/>
            <w:gridSpan w:val="5"/>
            <w:tcBorders>
              <w:right w:val="single" w:color="000000" w:sz="8" w:space="0"/>
            </w:tcBorders>
            <w:vAlign w:val="center"/>
          </w:tcPr>
          <w:p w14:paraId="7B5D73DA">
            <w:pPr>
              <w:widowControl/>
              <w:jc w:val="left"/>
              <w:textAlignment w:val="center"/>
              <w:rPr>
                <w:rFonts w:ascii="仿宋" w:hAnsi="仿宋" w:eastAsia="仿宋" w:cs="仿宋"/>
                <w:b/>
                <w:bCs/>
                <w:color w:val="auto"/>
                <w:kern w:val="0"/>
                <w:sz w:val="24"/>
                <w:szCs w:val="18"/>
                <w:highlight w:val="none"/>
              </w:rPr>
            </w:pPr>
            <w:r>
              <w:rPr>
                <w:rFonts w:hint="eastAsia" w:ascii="仿宋" w:hAnsi="仿宋" w:eastAsia="仿宋" w:cs="仿宋"/>
                <w:b/>
                <w:bCs/>
                <w:color w:val="auto"/>
                <w:kern w:val="0"/>
                <w:sz w:val="24"/>
                <w:szCs w:val="18"/>
                <w:highlight w:val="none"/>
              </w:rPr>
              <w:t>技术条款中其他指标如有偏离，应在本表中详细列出，如无偏离，请在本部分写“完全响应其他技术指标要求，无偏离”。</w:t>
            </w:r>
          </w:p>
        </w:tc>
      </w:tr>
      <w:tr w14:paraId="31B76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1919" w:type="dxa"/>
            <w:vAlign w:val="center"/>
          </w:tcPr>
          <w:p w14:paraId="6C05CB1B">
            <w:pPr>
              <w:jc w:val="left"/>
              <w:rPr>
                <w:rFonts w:ascii="仿宋" w:hAnsi="仿宋" w:eastAsia="仿宋" w:cs="仿宋"/>
                <w:b/>
                <w:color w:val="auto"/>
                <w:sz w:val="20"/>
                <w:highlight w:val="none"/>
              </w:rPr>
            </w:pPr>
          </w:p>
        </w:tc>
        <w:tc>
          <w:tcPr>
            <w:tcW w:w="2068" w:type="dxa"/>
            <w:vAlign w:val="center"/>
          </w:tcPr>
          <w:p w14:paraId="556B74F2">
            <w:pPr>
              <w:jc w:val="left"/>
              <w:rPr>
                <w:rFonts w:ascii="仿宋" w:hAnsi="仿宋" w:eastAsia="仿宋" w:cs="仿宋"/>
                <w:b/>
                <w:color w:val="auto"/>
                <w:sz w:val="20"/>
                <w:highlight w:val="none"/>
              </w:rPr>
            </w:pPr>
          </w:p>
        </w:tc>
        <w:tc>
          <w:tcPr>
            <w:tcW w:w="2462" w:type="dxa"/>
            <w:vAlign w:val="center"/>
          </w:tcPr>
          <w:p w14:paraId="540996F0">
            <w:pPr>
              <w:jc w:val="left"/>
              <w:rPr>
                <w:rFonts w:ascii="仿宋" w:hAnsi="仿宋" w:eastAsia="仿宋" w:cs="仿宋"/>
                <w:color w:val="auto"/>
                <w:sz w:val="20"/>
                <w:highlight w:val="none"/>
              </w:rPr>
            </w:pPr>
          </w:p>
        </w:tc>
        <w:tc>
          <w:tcPr>
            <w:tcW w:w="2285" w:type="dxa"/>
            <w:vAlign w:val="center"/>
          </w:tcPr>
          <w:p w14:paraId="214E3CC6">
            <w:pPr>
              <w:widowControl/>
              <w:jc w:val="left"/>
              <w:textAlignment w:val="center"/>
              <w:rPr>
                <w:rFonts w:ascii="仿宋" w:hAnsi="仿宋" w:eastAsia="仿宋" w:cs="仿宋"/>
                <w:color w:val="auto"/>
                <w:kern w:val="0"/>
                <w:sz w:val="20"/>
                <w:highlight w:val="none"/>
              </w:rPr>
            </w:pPr>
          </w:p>
        </w:tc>
        <w:tc>
          <w:tcPr>
            <w:tcW w:w="1018" w:type="dxa"/>
            <w:vAlign w:val="center"/>
          </w:tcPr>
          <w:p w14:paraId="5B2A6BC1">
            <w:pPr>
              <w:widowControl/>
              <w:jc w:val="left"/>
              <w:textAlignment w:val="center"/>
              <w:rPr>
                <w:rFonts w:ascii="仿宋" w:hAnsi="仿宋" w:eastAsia="仿宋" w:cs="仿宋"/>
                <w:color w:val="auto"/>
                <w:kern w:val="0"/>
                <w:sz w:val="20"/>
                <w:highlight w:val="none"/>
              </w:rPr>
            </w:pPr>
          </w:p>
        </w:tc>
      </w:tr>
      <w:tr w14:paraId="5BF2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2" w:hRule="atLeast"/>
          <w:jc w:val="center"/>
        </w:trPr>
        <w:tc>
          <w:tcPr>
            <w:tcW w:w="9752" w:type="dxa"/>
            <w:gridSpan w:val="5"/>
            <w:vAlign w:val="center"/>
          </w:tcPr>
          <w:p w14:paraId="6302B95F">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商务条款如无偏离，请在商务条款部分写“完全响应商务条款要求，无偏离”，并按格式要求盖章签字附在响应文件中。 </w:t>
            </w:r>
          </w:p>
        </w:tc>
      </w:tr>
      <w:tr w14:paraId="329AD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8" w:hRule="atLeast"/>
          <w:jc w:val="center"/>
        </w:trPr>
        <w:tc>
          <w:tcPr>
            <w:tcW w:w="1919" w:type="dxa"/>
            <w:vAlign w:val="center"/>
          </w:tcPr>
          <w:p w14:paraId="1DECC741">
            <w:pPr>
              <w:jc w:val="center"/>
              <w:rPr>
                <w:rFonts w:ascii="仿宋" w:hAnsi="仿宋" w:eastAsia="仿宋" w:cs="仿宋"/>
                <w:b/>
                <w:color w:val="auto"/>
                <w:sz w:val="20"/>
                <w:highlight w:val="none"/>
              </w:rPr>
            </w:pPr>
          </w:p>
        </w:tc>
        <w:tc>
          <w:tcPr>
            <w:tcW w:w="2068" w:type="dxa"/>
            <w:vAlign w:val="center"/>
          </w:tcPr>
          <w:p w14:paraId="3283632B">
            <w:pPr>
              <w:jc w:val="center"/>
              <w:rPr>
                <w:rFonts w:ascii="仿宋" w:hAnsi="仿宋" w:eastAsia="仿宋" w:cs="仿宋"/>
                <w:b/>
                <w:color w:val="auto"/>
                <w:sz w:val="20"/>
                <w:highlight w:val="none"/>
              </w:rPr>
            </w:pPr>
          </w:p>
        </w:tc>
        <w:tc>
          <w:tcPr>
            <w:tcW w:w="2462" w:type="dxa"/>
            <w:vAlign w:val="center"/>
          </w:tcPr>
          <w:p w14:paraId="5BF0F8AF">
            <w:pPr>
              <w:jc w:val="center"/>
              <w:rPr>
                <w:rFonts w:ascii="仿宋" w:hAnsi="仿宋" w:eastAsia="仿宋" w:cs="仿宋"/>
                <w:color w:val="auto"/>
                <w:sz w:val="20"/>
                <w:highlight w:val="none"/>
              </w:rPr>
            </w:pPr>
          </w:p>
        </w:tc>
        <w:tc>
          <w:tcPr>
            <w:tcW w:w="2285" w:type="dxa"/>
            <w:vAlign w:val="center"/>
          </w:tcPr>
          <w:p w14:paraId="394770DB">
            <w:pPr>
              <w:widowControl/>
              <w:jc w:val="center"/>
              <w:textAlignment w:val="center"/>
              <w:rPr>
                <w:rFonts w:ascii="仿宋" w:hAnsi="仿宋" w:eastAsia="仿宋" w:cs="仿宋"/>
                <w:color w:val="auto"/>
                <w:kern w:val="0"/>
                <w:sz w:val="20"/>
                <w:highlight w:val="none"/>
              </w:rPr>
            </w:pPr>
          </w:p>
        </w:tc>
        <w:tc>
          <w:tcPr>
            <w:tcW w:w="1018" w:type="dxa"/>
            <w:vAlign w:val="center"/>
          </w:tcPr>
          <w:p w14:paraId="361BA1F6">
            <w:pPr>
              <w:widowControl/>
              <w:jc w:val="center"/>
              <w:textAlignment w:val="center"/>
              <w:rPr>
                <w:rFonts w:ascii="仿宋" w:hAnsi="仿宋" w:eastAsia="仿宋" w:cs="仿宋"/>
                <w:color w:val="auto"/>
                <w:kern w:val="0"/>
                <w:sz w:val="20"/>
                <w:highlight w:val="none"/>
              </w:rPr>
            </w:pPr>
          </w:p>
        </w:tc>
      </w:tr>
    </w:tbl>
    <w:p w14:paraId="5E9F0F11">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供应商（盖章）：                    </w:t>
      </w:r>
    </w:p>
    <w:p w14:paraId="535E015C">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法定代表人或授权代理人（签字或盖章）：                            </w:t>
      </w:r>
    </w:p>
    <w:p w14:paraId="54E3DA04">
      <w:pPr>
        <w:jc w:val="right"/>
        <w:rPr>
          <w:rFonts w:ascii="仿宋" w:hAnsi="仿宋" w:eastAsia="仿宋" w:cs="仿宋"/>
          <w:b/>
          <w:color w:val="auto"/>
          <w:sz w:val="44"/>
          <w:szCs w:val="21"/>
          <w:highlight w:val="none"/>
        </w:rPr>
      </w:pPr>
      <w:r>
        <w:rPr>
          <w:rFonts w:hint="eastAsia" w:ascii="仿宋" w:hAnsi="仿宋" w:eastAsia="仿宋" w:cs="仿宋"/>
          <w:color w:val="auto"/>
          <w:sz w:val="24"/>
          <w:highlight w:val="none"/>
        </w:rPr>
        <w:t xml:space="preserve"> 年  月  日</w:t>
      </w:r>
    </w:p>
    <w:p w14:paraId="00579738">
      <w:pPr>
        <w:pStyle w:val="21"/>
        <w:ind w:firstLine="400"/>
        <w:rPr>
          <w:color w:val="auto"/>
          <w:highlight w:val="none"/>
        </w:rPr>
      </w:pPr>
    </w:p>
    <w:p w14:paraId="4812EF19">
      <w:pPr>
        <w:pStyle w:val="21"/>
        <w:ind w:firstLine="400"/>
        <w:rPr>
          <w:color w:val="auto"/>
          <w:highlight w:val="none"/>
        </w:rPr>
      </w:pPr>
    </w:p>
    <w:p w14:paraId="39B83CB2">
      <w:pPr>
        <w:pStyle w:val="21"/>
        <w:ind w:firstLine="883"/>
        <w:rPr>
          <w:rFonts w:ascii="仿宋" w:eastAsia="仿宋"/>
          <w:b/>
          <w:color w:val="auto"/>
          <w:sz w:val="44"/>
          <w:szCs w:val="21"/>
          <w:highlight w:val="none"/>
        </w:rPr>
      </w:pPr>
    </w:p>
    <w:p w14:paraId="27E735A6">
      <w:pPr>
        <w:rPr>
          <w:color w:val="auto"/>
          <w:highlight w:val="none"/>
        </w:rPr>
      </w:pPr>
      <w:r>
        <w:rPr>
          <w:color w:val="auto"/>
          <w:highlight w:val="none"/>
        </w:rPr>
        <w:br w:type="page"/>
      </w:r>
    </w:p>
    <w:p w14:paraId="5ED503EB">
      <w:pPr>
        <w:spacing w:line="480" w:lineRule="auto"/>
        <w:jc w:val="left"/>
        <w:outlineLvl w:val="1"/>
        <w:rPr>
          <w:rFonts w:ascii="仿宋" w:hAnsi="仿宋" w:eastAsia="仿宋"/>
          <w:b/>
          <w:color w:val="auto"/>
          <w:sz w:val="24"/>
          <w:szCs w:val="21"/>
          <w:highlight w:val="none"/>
        </w:rPr>
      </w:pPr>
      <w:r>
        <w:rPr>
          <w:rFonts w:hint="eastAsia" w:ascii="仿宋" w:hAnsi="仿宋" w:eastAsia="仿宋"/>
          <w:b/>
          <w:color w:val="auto"/>
          <w:sz w:val="24"/>
          <w:szCs w:val="21"/>
          <w:highlight w:val="none"/>
        </w:rPr>
        <w:t>附件7：</w:t>
      </w:r>
    </w:p>
    <w:p w14:paraId="3362056B">
      <w:pPr>
        <w:pStyle w:val="8"/>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拟投入本项目人员配置情况表（项目负责人）</w:t>
      </w:r>
    </w:p>
    <w:p w14:paraId="5BC3C64A">
      <w:pPr>
        <w:rPr>
          <w:rFonts w:ascii="宋体" w:hAnsi="宋体" w:cs="宋体"/>
          <w:b/>
          <w:color w:val="auto"/>
          <w:szCs w:val="21"/>
          <w:highlight w:val="none"/>
        </w:rPr>
      </w:pPr>
    </w:p>
    <w:p w14:paraId="2F4CBAC0">
      <w:pPr>
        <w:snapToGrid w:val="0"/>
        <w:spacing w:line="360" w:lineRule="auto"/>
        <w:rPr>
          <w:rFonts w:ascii="仿宋" w:hAnsi="仿宋" w:eastAsia="仿宋" w:cs="仿宋"/>
          <w:color w:val="auto"/>
          <w:sz w:val="24"/>
          <w:highlight w:val="none"/>
        </w:rPr>
      </w:pPr>
      <w:bookmarkStart w:id="133" w:name="_Hlk78214932"/>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rPr>
        <w:t>：</w:t>
      </w:r>
      <w:r>
        <w:rPr>
          <w:rFonts w:hint="eastAsia" w:ascii="仿宋" w:hAnsi="仿宋" w:eastAsia="仿宋" w:cs="仿宋"/>
          <w:color w:val="auto"/>
          <w:sz w:val="24"/>
          <w:highlight w:val="none"/>
        </w:rPr>
        <w:t>ZYJS-SC2025007</w:t>
      </w:r>
      <w:r>
        <w:rPr>
          <w:rFonts w:hint="eastAsia" w:ascii="仿宋" w:hAnsi="仿宋" w:eastAsia="仿宋" w:cs="宋体"/>
          <w:color w:val="auto"/>
          <w:sz w:val="24"/>
          <w:highlight w:val="none"/>
        </w:rPr>
        <w:t xml:space="preserve"> </w:t>
      </w:r>
    </w:p>
    <w:tbl>
      <w:tblPr>
        <w:tblStyle w:val="22"/>
        <w:tblW w:w="9362" w:type="dxa"/>
        <w:tblInd w:w="0" w:type="dxa"/>
        <w:tblLayout w:type="fixed"/>
        <w:tblCellMar>
          <w:top w:w="0" w:type="dxa"/>
          <w:left w:w="108" w:type="dxa"/>
          <w:bottom w:w="0" w:type="dxa"/>
          <w:right w:w="108" w:type="dxa"/>
        </w:tblCellMar>
      </w:tblPr>
      <w:tblGrid>
        <w:gridCol w:w="1684"/>
        <w:gridCol w:w="2259"/>
        <w:gridCol w:w="5419"/>
      </w:tblGrid>
      <w:tr w14:paraId="19DABCF9">
        <w:tblPrEx>
          <w:tblCellMar>
            <w:top w:w="0" w:type="dxa"/>
            <w:left w:w="108" w:type="dxa"/>
            <w:bottom w:w="0" w:type="dxa"/>
            <w:right w:w="108" w:type="dxa"/>
          </w:tblCellMar>
        </w:tblPrEx>
        <w:trPr>
          <w:trHeight w:val="604"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E79064">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姓名</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621DD4B">
            <w:pPr>
              <w:autoSpaceDE w:val="0"/>
              <w:autoSpaceDN w:val="0"/>
              <w:spacing w:line="360" w:lineRule="auto"/>
              <w:jc w:val="center"/>
              <w:rPr>
                <w:rFonts w:ascii="仿宋" w:hAnsi="仿宋" w:eastAsia="仿宋" w:cs="宋体"/>
                <w:color w:val="auto"/>
                <w:sz w:val="24"/>
                <w:highlight w:val="none"/>
              </w:rPr>
            </w:pPr>
          </w:p>
        </w:tc>
        <w:tc>
          <w:tcPr>
            <w:tcW w:w="541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357D0D">
            <w:pPr>
              <w:autoSpaceDE w:val="0"/>
              <w:autoSpaceDN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投标截止时间前三年业绩及承担的主要工作情况，曾担任项目经理的项目应列明细</w:t>
            </w:r>
          </w:p>
        </w:tc>
      </w:tr>
      <w:tr w14:paraId="6BE2210B">
        <w:tblPrEx>
          <w:tblCellMar>
            <w:top w:w="0" w:type="dxa"/>
            <w:left w:w="108" w:type="dxa"/>
            <w:bottom w:w="0" w:type="dxa"/>
            <w:right w:w="108" w:type="dxa"/>
          </w:tblCellMar>
        </w:tblPrEx>
        <w:trPr>
          <w:cantSplit/>
          <w:trHeight w:val="345"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8DACAAE">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性别</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38C33E6">
            <w:pPr>
              <w:autoSpaceDE w:val="0"/>
              <w:autoSpaceDN w:val="0"/>
              <w:spacing w:line="360" w:lineRule="auto"/>
              <w:jc w:val="center"/>
              <w:rPr>
                <w:rFonts w:ascii="仿宋" w:hAnsi="仿宋" w:eastAsia="仿宋" w:cs="宋体"/>
                <w:color w:val="auto"/>
                <w:sz w:val="24"/>
                <w:highlight w:val="none"/>
              </w:rPr>
            </w:pPr>
          </w:p>
        </w:tc>
        <w:tc>
          <w:tcPr>
            <w:tcW w:w="5419" w:type="dxa"/>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14:paraId="4C7A0429">
            <w:pPr>
              <w:autoSpaceDE w:val="0"/>
              <w:autoSpaceDN w:val="0"/>
              <w:spacing w:line="360" w:lineRule="auto"/>
              <w:jc w:val="center"/>
              <w:rPr>
                <w:rFonts w:ascii="仿宋" w:hAnsi="仿宋" w:eastAsia="仿宋" w:cs="宋体"/>
                <w:color w:val="auto"/>
                <w:sz w:val="24"/>
                <w:highlight w:val="none"/>
              </w:rPr>
            </w:pPr>
          </w:p>
        </w:tc>
      </w:tr>
      <w:tr w14:paraId="422E2626">
        <w:tblPrEx>
          <w:tblCellMar>
            <w:top w:w="0" w:type="dxa"/>
            <w:left w:w="108" w:type="dxa"/>
            <w:bottom w:w="0" w:type="dxa"/>
            <w:right w:w="108" w:type="dxa"/>
          </w:tblCellMar>
        </w:tblPrEx>
        <w:trPr>
          <w:cantSplit/>
          <w:trHeight w:val="337"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3EC5C8">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年龄</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064841D">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A650034">
            <w:pPr>
              <w:widowControl/>
              <w:spacing w:line="360" w:lineRule="auto"/>
              <w:jc w:val="left"/>
              <w:rPr>
                <w:rFonts w:ascii="仿宋" w:hAnsi="仿宋" w:eastAsia="仿宋" w:cs="宋体"/>
                <w:color w:val="auto"/>
                <w:sz w:val="24"/>
                <w:highlight w:val="none"/>
              </w:rPr>
            </w:pPr>
          </w:p>
        </w:tc>
      </w:tr>
      <w:tr w14:paraId="478CD5C6">
        <w:tblPrEx>
          <w:tblCellMar>
            <w:top w:w="0" w:type="dxa"/>
            <w:left w:w="108" w:type="dxa"/>
            <w:bottom w:w="0" w:type="dxa"/>
            <w:right w:w="108" w:type="dxa"/>
          </w:tblCellMar>
        </w:tblPrEx>
        <w:trPr>
          <w:cantSplit/>
          <w:trHeight w:val="345"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BDFC19">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职称</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1F688B12">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7397D0B">
            <w:pPr>
              <w:widowControl/>
              <w:spacing w:line="360" w:lineRule="auto"/>
              <w:jc w:val="left"/>
              <w:rPr>
                <w:rFonts w:ascii="仿宋" w:hAnsi="仿宋" w:eastAsia="仿宋" w:cs="宋体"/>
                <w:color w:val="auto"/>
                <w:sz w:val="24"/>
                <w:highlight w:val="none"/>
              </w:rPr>
            </w:pPr>
          </w:p>
        </w:tc>
      </w:tr>
      <w:tr w14:paraId="71080338">
        <w:tblPrEx>
          <w:tblCellMar>
            <w:top w:w="0" w:type="dxa"/>
            <w:left w:w="108" w:type="dxa"/>
            <w:bottom w:w="0" w:type="dxa"/>
            <w:right w:w="108" w:type="dxa"/>
          </w:tblCellMar>
        </w:tblPrEx>
        <w:trPr>
          <w:cantSplit/>
          <w:trHeight w:val="345"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D62258">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毕业时间</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1931D210">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C19650D">
            <w:pPr>
              <w:widowControl/>
              <w:spacing w:line="360" w:lineRule="auto"/>
              <w:jc w:val="left"/>
              <w:rPr>
                <w:rFonts w:ascii="仿宋" w:hAnsi="仿宋" w:eastAsia="仿宋" w:cs="宋体"/>
                <w:color w:val="auto"/>
                <w:sz w:val="24"/>
                <w:highlight w:val="none"/>
              </w:rPr>
            </w:pPr>
          </w:p>
        </w:tc>
      </w:tr>
      <w:tr w14:paraId="4D4A6B7C">
        <w:tblPrEx>
          <w:tblCellMar>
            <w:top w:w="0" w:type="dxa"/>
            <w:left w:w="108" w:type="dxa"/>
            <w:bottom w:w="0" w:type="dxa"/>
            <w:right w:w="108" w:type="dxa"/>
          </w:tblCellMar>
        </w:tblPrEx>
        <w:trPr>
          <w:cantSplit/>
          <w:trHeight w:val="422"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16FF64">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所学专业</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BA39664">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1839705">
            <w:pPr>
              <w:widowControl/>
              <w:spacing w:line="360" w:lineRule="auto"/>
              <w:jc w:val="left"/>
              <w:rPr>
                <w:rFonts w:ascii="仿宋" w:hAnsi="仿宋" w:eastAsia="仿宋" w:cs="宋体"/>
                <w:color w:val="auto"/>
                <w:sz w:val="24"/>
                <w:highlight w:val="none"/>
              </w:rPr>
            </w:pPr>
          </w:p>
        </w:tc>
      </w:tr>
      <w:tr w14:paraId="062C5103">
        <w:tblPrEx>
          <w:tblCellMar>
            <w:top w:w="0" w:type="dxa"/>
            <w:left w:w="108" w:type="dxa"/>
            <w:bottom w:w="0" w:type="dxa"/>
            <w:right w:w="108" w:type="dxa"/>
          </w:tblCellMar>
        </w:tblPrEx>
        <w:trPr>
          <w:cantSplit/>
          <w:trHeight w:val="416"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D44437">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学历</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8A0CCA1">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CEC2495">
            <w:pPr>
              <w:widowControl/>
              <w:spacing w:line="360" w:lineRule="auto"/>
              <w:jc w:val="left"/>
              <w:rPr>
                <w:rFonts w:ascii="仿宋" w:hAnsi="仿宋" w:eastAsia="仿宋" w:cs="宋体"/>
                <w:color w:val="auto"/>
                <w:sz w:val="24"/>
                <w:highlight w:val="none"/>
              </w:rPr>
            </w:pPr>
          </w:p>
        </w:tc>
      </w:tr>
      <w:tr w14:paraId="649E971C">
        <w:tblPrEx>
          <w:tblCellMar>
            <w:top w:w="0" w:type="dxa"/>
            <w:left w:w="108" w:type="dxa"/>
            <w:bottom w:w="0" w:type="dxa"/>
            <w:right w:w="108" w:type="dxa"/>
          </w:tblCellMar>
        </w:tblPrEx>
        <w:trPr>
          <w:cantSplit/>
          <w:trHeight w:val="356"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231B7F">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资质证书编号</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145B870">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E55CFB2">
            <w:pPr>
              <w:widowControl/>
              <w:spacing w:line="360" w:lineRule="auto"/>
              <w:jc w:val="left"/>
              <w:rPr>
                <w:rFonts w:ascii="仿宋" w:hAnsi="仿宋" w:eastAsia="仿宋" w:cs="宋体"/>
                <w:color w:val="auto"/>
                <w:sz w:val="24"/>
                <w:highlight w:val="none"/>
              </w:rPr>
            </w:pPr>
          </w:p>
        </w:tc>
      </w:tr>
      <w:tr w14:paraId="112E4357">
        <w:tblPrEx>
          <w:tblCellMar>
            <w:top w:w="0" w:type="dxa"/>
            <w:left w:w="108" w:type="dxa"/>
            <w:bottom w:w="0" w:type="dxa"/>
            <w:right w:w="108" w:type="dxa"/>
          </w:tblCellMar>
        </w:tblPrEx>
        <w:trPr>
          <w:cantSplit/>
          <w:trHeight w:val="177"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510863">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其他资质情况</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62CAECA">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28C6A79">
            <w:pPr>
              <w:widowControl/>
              <w:spacing w:line="360" w:lineRule="auto"/>
              <w:jc w:val="left"/>
              <w:rPr>
                <w:rFonts w:ascii="仿宋" w:hAnsi="仿宋" w:eastAsia="仿宋" w:cs="宋体"/>
                <w:color w:val="auto"/>
                <w:sz w:val="24"/>
                <w:highlight w:val="none"/>
              </w:rPr>
            </w:pPr>
          </w:p>
        </w:tc>
      </w:tr>
      <w:tr w14:paraId="19942E17">
        <w:tblPrEx>
          <w:tblCellMar>
            <w:top w:w="0" w:type="dxa"/>
            <w:left w:w="108" w:type="dxa"/>
            <w:bottom w:w="0" w:type="dxa"/>
            <w:right w:w="108" w:type="dxa"/>
          </w:tblCellMar>
        </w:tblPrEx>
        <w:trPr>
          <w:cantSplit/>
          <w:trHeight w:val="169" w:hRule="atLeast"/>
        </w:trPr>
        <w:tc>
          <w:tcPr>
            <w:tcW w:w="16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16F2F6">
            <w:pPr>
              <w:autoSpaceDE w:val="0"/>
              <w:autoSpaceDN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2259"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C383AAF">
            <w:pPr>
              <w:autoSpaceDE w:val="0"/>
              <w:autoSpaceDN w:val="0"/>
              <w:spacing w:line="360" w:lineRule="auto"/>
              <w:jc w:val="center"/>
              <w:rPr>
                <w:rFonts w:ascii="仿宋" w:hAnsi="仿宋" w:eastAsia="仿宋" w:cs="宋体"/>
                <w:color w:val="auto"/>
                <w:sz w:val="24"/>
                <w:highlight w:val="none"/>
              </w:rPr>
            </w:pPr>
          </w:p>
        </w:tc>
        <w:tc>
          <w:tcPr>
            <w:tcW w:w="5419"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0CB308E">
            <w:pPr>
              <w:widowControl/>
              <w:spacing w:line="360" w:lineRule="auto"/>
              <w:jc w:val="left"/>
              <w:rPr>
                <w:rFonts w:ascii="仿宋" w:hAnsi="仿宋" w:eastAsia="仿宋" w:cs="宋体"/>
                <w:color w:val="auto"/>
                <w:sz w:val="24"/>
                <w:highlight w:val="none"/>
              </w:rPr>
            </w:pPr>
          </w:p>
        </w:tc>
      </w:tr>
    </w:tbl>
    <w:p w14:paraId="12F50270">
      <w:pPr>
        <w:pStyle w:val="6"/>
        <w:overflowPunct w:val="0"/>
        <w:ind w:firstLine="2640" w:firstLineChars="1100"/>
        <w:rPr>
          <w:rFonts w:hAnsi="宋体" w:cs="宋体"/>
          <w:color w:val="auto"/>
          <w:szCs w:val="24"/>
          <w:highlight w:val="none"/>
        </w:rPr>
      </w:pPr>
    </w:p>
    <w:p w14:paraId="064EA02F">
      <w:pPr>
        <w:spacing w:line="360" w:lineRule="auto"/>
        <w:jc w:val="left"/>
        <w:rPr>
          <w:rFonts w:ascii="仿宋" w:hAnsi="仿宋" w:eastAsia="仿宋" w:cs="仿宋"/>
          <w:color w:val="auto"/>
          <w:sz w:val="24"/>
          <w:highlight w:val="none"/>
        </w:rPr>
      </w:pPr>
    </w:p>
    <w:bookmarkEnd w:id="133"/>
    <w:p w14:paraId="71517272">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供应商（盖章）：                    </w:t>
      </w:r>
    </w:p>
    <w:p w14:paraId="041BC181">
      <w:pPr>
        <w:spacing w:line="360" w:lineRule="auto"/>
        <w:jc w:val="left"/>
        <w:rPr>
          <w:rFonts w:ascii="仿宋" w:hAnsi="仿宋" w:eastAsia="仿宋" w:cs="仿宋"/>
          <w:color w:val="auto"/>
          <w:sz w:val="24"/>
          <w:highlight w:val="none"/>
        </w:rPr>
      </w:pPr>
    </w:p>
    <w:p w14:paraId="5E30E110">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p>
    <w:p w14:paraId="273E4B56">
      <w:pPr>
        <w:spacing w:line="360" w:lineRule="auto"/>
        <w:jc w:val="left"/>
        <w:rPr>
          <w:rFonts w:ascii="仿宋" w:hAnsi="仿宋" w:eastAsia="仿宋" w:cs="仿宋"/>
          <w:color w:val="auto"/>
          <w:sz w:val="24"/>
          <w:highlight w:val="none"/>
        </w:rPr>
      </w:pPr>
    </w:p>
    <w:p w14:paraId="78FE62A6">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122263F2">
      <w:pPr>
        <w:spacing w:line="360" w:lineRule="auto"/>
        <w:rPr>
          <w:rFonts w:ascii="宋体" w:hAnsi="宋体" w:cs="宋体"/>
          <w:b/>
          <w:color w:val="auto"/>
          <w:sz w:val="24"/>
          <w:highlight w:val="none"/>
        </w:rPr>
      </w:pPr>
    </w:p>
    <w:p w14:paraId="500A2B98">
      <w:pPr>
        <w:pStyle w:val="21"/>
        <w:ind w:firstLine="400"/>
        <w:rPr>
          <w:color w:val="auto"/>
          <w:highlight w:val="none"/>
        </w:rPr>
      </w:pPr>
    </w:p>
    <w:p w14:paraId="2E2C14DA">
      <w:pPr>
        <w:pStyle w:val="21"/>
        <w:ind w:firstLine="400"/>
        <w:rPr>
          <w:color w:val="auto"/>
          <w:highlight w:val="none"/>
        </w:rPr>
      </w:pPr>
    </w:p>
    <w:p w14:paraId="7D6621ED">
      <w:pPr>
        <w:pStyle w:val="8"/>
        <w:jc w:val="center"/>
        <w:rPr>
          <w:rFonts w:ascii="仿宋" w:hAnsi="仿宋" w:eastAsia="仿宋" w:cs="仿宋"/>
          <w:b/>
          <w:bCs/>
          <w:color w:val="auto"/>
          <w:sz w:val="36"/>
          <w:szCs w:val="36"/>
          <w:highlight w:val="none"/>
        </w:rPr>
      </w:pPr>
    </w:p>
    <w:p w14:paraId="10EAE20F">
      <w:pPr>
        <w:rPr>
          <w:rFonts w:ascii="仿宋" w:hAnsi="仿宋" w:eastAsia="仿宋" w:cs="仿宋"/>
          <w:b/>
          <w:bCs/>
          <w:color w:val="auto"/>
          <w:sz w:val="36"/>
          <w:szCs w:val="36"/>
          <w:highlight w:val="none"/>
        </w:rPr>
      </w:pPr>
    </w:p>
    <w:p w14:paraId="369BD537">
      <w:pPr>
        <w:pStyle w:val="21"/>
        <w:ind w:firstLine="400"/>
        <w:rPr>
          <w:color w:val="auto"/>
          <w:highlight w:val="none"/>
        </w:rPr>
      </w:pPr>
    </w:p>
    <w:p w14:paraId="75B2F8BA">
      <w:pPr>
        <w:rPr>
          <w:color w:val="auto"/>
          <w:highlight w:val="none"/>
        </w:rPr>
      </w:pPr>
    </w:p>
    <w:p w14:paraId="36033281">
      <w:pPr>
        <w:rPr>
          <w:rFonts w:ascii="仿宋" w:hAnsi="仿宋" w:eastAsia="仿宋"/>
          <w:b/>
          <w:color w:val="auto"/>
          <w:sz w:val="44"/>
          <w:szCs w:val="21"/>
          <w:highlight w:val="none"/>
        </w:rPr>
      </w:pPr>
    </w:p>
    <w:p w14:paraId="6153297F">
      <w:pPr>
        <w:spacing w:line="480" w:lineRule="auto"/>
        <w:jc w:val="left"/>
        <w:outlineLvl w:val="1"/>
        <w:rPr>
          <w:rFonts w:ascii="仿宋" w:hAnsi="仿宋" w:eastAsia="仿宋"/>
          <w:b/>
          <w:color w:val="auto"/>
          <w:sz w:val="24"/>
          <w:szCs w:val="21"/>
          <w:highlight w:val="none"/>
        </w:rPr>
      </w:pPr>
      <w:bookmarkStart w:id="134" w:name="_Toc23735"/>
      <w:bookmarkStart w:id="135" w:name="_Toc2484"/>
      <w:r>
        <w:rPr>
          <w:rFonts w:hint="eastAsia" w:ascii="仿宋" w:hAnsi="仿宋" w:eastAsia="仿宋"/>
          <w:b/>
          <w:color w:val="auto"/>
          <w:sz w:val="24"/>
          <w:szCs w:val="21"/>
          <w:highlight w:val="none"/>
        </w:rPr>
        <w:t>附件8：</w:t>
      </w:r>
    </w:p>
    <w:p w14:paraId="7773E915">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参加本项目人员一览表</w:t>
      </w:r>
      <w:bookmarkEnd w:id="134"/>
      <w:bookmarkEnd w:id="135"/>
    </w:p>
    <w:p w14:paraId="6FB7C43F">
      <w:pPr>
        <w:snapToGrid w:val="0"/>
        <w:spacing w:line="360" w:lineRule="auto"/>
        <w:rPr>
          <w:rFonts w:ascii="仿宋" w:hAnsi="仿宋" w:eastAsia="仿宋" w:cs="仿宋"/>
          <w:color w:val="auto"/>
          <w:sz w:val="24"/>
          <w:highlight w:val="none"/>
        </w:rPr>
      </w:pPr>
    </w:p>
    <w:p w14:paraId="3E7C045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rPr>
        <w:t>：</w:t>
      </w:r>
      <w:r>
        <w:rPr>
          <w:rFonts w:hint="eastAsia" w:ascii="仿宋" w:hAnsi="仿宋" w:eastAsia="仿宋" w:cs="仿宋"/>
          <w:color w:val="auto"/>
          <w:sz w:val="24"/>
          <w:highlight w:val="none"/>
        </w:rPr>
        <w:t>ZYJS-SC2025007</w:t>
      </w:r>
    </w:p>
    <w:tbl>
      <w:tblPr>
        <w:tblStyle w:val="22"/>
        <w:tblW w:w="10234"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1024"/>
        <w:gridCol w:w="1650"/>
      </w:tblGrid>
      <w:tr w14:paraId="4A7EF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14:paraId="143D99D9">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45" w:type="dxa"/>
            <w:tcBorders>
              <w:top w:val="single" w:color="auto" w:sz="4" w:space="0"/>
              <w:left w:val="single" w:color="auto" w:sz="4" w:space="0"/>
              <w:bottom w:val="single" w:color="auto" w:sz="4" w:space="0"/>
              <w:right w:val="single" w:color="auto" w:sz="4" w:space="0"/>
            </w:tcBorders>
            <w:vAlign w:val="center"/>
          </w:tcPr>
          <w:p w14:paraId="70BC9CB2">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945" w:type="dxa"/>
            <w:tcBorders>
              <w:top w:val="single" w:color="auto" w:sz="4" w:space="0"/>
              <w:left w:val="single" w:color="auto" w:sz="4" w:space="0"/>
              <w:bottom w:val="single" w:color="auto" w:sz="4" w:space="0"/>
              <w:right w:val="single" w:color="auto" w:sz="4" w:space="0"/>
            </w:tcBorders>
            <w:vAlign w:val="center"/>
          </w:tcPr>
          <w:p w14:paraId="5F7125BB">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291BA71C">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945" w:type="dxa"/>
            <w:tcBorders>
              <w:top w:val="single" w:color="auto" w:sz="4" w:space="0"/>
              <w:left w:val="single" w:color="auto" w:sz="4" w:space="0"/>
              <w:bottom w:val="single" w:color="auto" w:sz="4" w:space="0"/>
              <w:right w:val="single" w:color="auto" w:sz="4" w:space="0"/>
            </w:tcBorders>
            <w:vAlign w:val="center"/>
          </w:tcPr>
          <w:p w14:paraId="50FFD945">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毕业学校和学历</w:t>
            </w:r>
          </w:p>
        </w:tc>
        <w:tc>
          <w:tcPr>
            <w:tcW w:w="945" w:type="dxa"/>
            <w:tcBorders>
              <w:top w:val="single" w:color="auto" w:sz="4" w:space="0"/>
              <w:left w:val="single" w:color="auto" w:sz="4" w:space="0"/>
              <w:bottom w:val="single" w:color="auto" w:sz="4" w:space="0"/>
              <w:right w:val="single" w:color="auto" w:sz="4" w:space="0"/>
            </w:tcBorders>
            <w:vAlign w:val="center"/>
          </w:tcPr>
          <w:p w14:paraId="25F29814">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945" w:type="dxa"/>
            <w:tcBorders>
              <w:top w:val="single" w:color="auto" w:sz="4" w:space="0"/>
              <w:left w:val="single" w:color="auto" w:sz="4" w:space="0"/>
              <w:bottom w:val="single" w:color="auto" w:sz="4" w:space="0"/>
              <w:right w:val="single" w:color="auto" w:sz="4" w:space="0"/>
            </w:tcBorders>
            <w:vAlign w:val="center"/>
          </w:tcPr>
          <w:p w14:paraId="6086BA50">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945" w:type="dxa"/>
            <w:tcBorders>
              <w:top w:val="single" w:color="auto" w:sz="4" w:space="0"/>
              <w:left w:val="single" w:color="auto" w:sz="4" w:space="0"/>
              <w:bottom w:val="single" w:color="auto" w:sz="4" w:space="0"/>
              <w:right w:val="single" w:color="auto" w:sz="4" w:space="0"/>
            </w:tcBorders>
            <w:vAlign w:val="center"/>
          </w:tcPr>
          <w:p w14:paraId="373D47AF">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专业培训及证书</w:t>
            </w:r>
          </w:p>
        </w:tc>
        <w:tc>
          <w:tcPr>
            <w:tcW w:w="1024" w:type="dxa"/>
            <w:tcBorders>
              <w:top w:val="single" w:color="auto" w:sz="4" w:space="0"/>
              <w:left w:val="single" w:color="auto" w:sz="4" w:space="0"/>
              <w:bottom w:val="single" w:color="auto" w:sz="4" w:space="0"/>
              <w:right w:val="single" w:color="auto" w:sz="4" w:space="0"/>
            </w:tcBorders>
            <w:vAlign w:val="center"/>
          </w:tcPr>
          <w:p w14:paraId="53FD1DF2">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责任</w:t>
            </w:r>
          </w:p>
          <w:p w14:paraId="48E70096">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或分工</w:t>
            </w:r>
          </w:p>
        </w:tc>
        <w:tc>
          <w:tcPr>
            <w:tcW w:w="1650" w:type="dxa"/>
            <w:tcBorders>
              <w:top w:val="single" w:color="auto" w:sz="4" w:space="0"/>
              <w:left w:val="single" w:color="auto" w:sz="4" w:space="0"/>
              <w:bottom w:val="single" w:color="auto" w:sz="4" w:space="0"/>
              <w:right w:val="single" w:color="auto" w:sz="4" w:space="0"/>
            </w:tcBorders>
            <w:vAlign w:val="center"/>
          </w:tcPr>
          <w:p w14:paraId="1A50782F">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项目经历或主要工作</w:t>
            </w:r>
          </w:p>
          <w:p w14:paraId="5424BB72">
            <w:pPr>
              <w:tabs>
                <w:tab w:val="left" w:pos="9765"/>
              </w:tab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w:t>
            </w:r>
          </w:p>
        </w:tc>
      </w:tr>
      <w:tr w14:paraId="37CA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3AAAB8E1">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BF90C83">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B738B41">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CA0EAD3">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1EB48FB">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CF84FDE">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9E0848F">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2E2CFB5">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024" w:type="dxa"/>
            <w:tcBorders>
              <w:top w:val="single" w:color="auto" w:sz="4" w:space="0"/>
              <w:left w:val="single" w:color="auto" w:sz="4" w:space="0"/>
              <w:bottom w:val="single" w:color="auto" w:sz="4" w:space="0"/>
              <w:right w:val="single" w:color="auto" w:sz="4" w:space="0"/>
            </w:tcBorders>
          </w:tcPr>
          <w:p w14:paraId="4DB9D694">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650" w:type="dxa"/>
            <w:tcBorders>
              <w:top w:val="single" w:color="auto" w:sz="4" w:space="0"/>
              <w:left w:val="single" w:color="auto" w:sz="4" w:space="0"/>
              <w:bottom w:val="single" w:color="auto" w:sz="4" w:space="0"/>
              <w:right w:val="single" w:color="auto" w:sz="4" w:space="0"/>
            </w:tcBorders>
          </w:tcPr>
          <w:p w14:paraId="5A986206">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65F99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753DD449">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4CBA9F0">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B401258">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41629452">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3B4612E">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383CBA49">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767882CF">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23C6BFA">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024" w:type="dxa"/>
            <w:tcBorders>
              <w:top w:val="single" w:color="auto" w:sz="4" w:space="0"/>
              <w:left w:val="single" w:color="auto" w:sz="4" w:space="0"/>
              <w:bottom w:val="single" w:color="auto" w:sz="4" w:space="0"/>
              <w:right w:val="single" w:color="auto" w:sz="4" w:space="0"/>
            </w:tcBorders>
          </w:tcPr>
          <w:p w14:paraId="14363A24">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650" w:type="dxa"/>
            <w:tcBorders>
              <w:top w:val="single" w:color="auto" w:sz="4" w:space="0"/>
              <w:left w:val="single" w:color="auto" w:sz="4" w:space="0"/>
              <w:bottom w:val="single" w:color="auto" w:sz="4" w:space="0"/>
              <w:right w:val="single" w:color="auto" w:sz="4" w:space="0"/>
            </w:tcBorders>
          </w:tcPr>
          <w:p w14:paraId="5EB72778">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r>
      <w:tr w14:paraId="5A09F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77E3823E">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317896D">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8590712">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4D5FBB7">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2CEDF06">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7337BB2D">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199D6DD">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6E99B28">
            <w:pPr>
              <w:tabs>
                <w:tab w:val="left" w:pos="9765"/>
              </w:tabs>
              <w:snapToGrid w:val="0"/>
              <w:spacing w:line="360" w:lineRule="auto"/>
              <w:rPr>
                <w:rFonts w:ascii="仿宋" w:hAnsi="仿宋" w:eastAsia="仿宋" w:cs="仿宋"/>
                <w:color w:val="auto"/>
                <w:sz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66B86730">
            <w:pPr>
              <w:tabs>
                <w:tab w:val="left" w:pos="9765"/>
              </w:tabs>
              <w:snapToGrid w:val="0"/>
              <w:spacing w:line="360" w:lineRule="auto"/>
              <w:rPr>
                <w:rFonts w:ascii="仿宋" w:hAnsi="仿宋" w:eastAsia="仿宋" w:cs="仿宋"/>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tcPr>
          <w:p w14:paraId="1AFA6890">
            <w:pPr>
              <w:tabs>
                <w:tab w:val="left" w:pos="9765"/>
              </w:tabs>
              <w:snapToGrid w:val="0"/>
              <w:spacing w:line="360" w:lineRule="auto"/>
              <w:rPr>
                <w:rFonts w:ascii="仿宋" w:hAnsi="仿宋" w:eastAsia="仿宋" w:cs="仿宋"/>
                <w:color w:val="auto"/>
                <w:sz w:val="24"/>
                <w:highlight w:val="none"/>
              </w:rPr>
            </w:pPr>
          </w:p>
        </w:tc>
      </w:tr>
      <w:tr w14:paraId="0253E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0CE0A0B9">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094F38B">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5926C7AD">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324F576B">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B812677">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2EF5F35">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574652E8">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6641E19E">
            <w:pPr>
              <w:tabs>
                <w:tab w:val="left" w:pos="9765"/>
              </w:tabs>
              <w:snapToGrid w:val="0"/>
              <w:spacing w:line="360" w:lineRule="auto"/>
              <w:rPr>
                <w:rFonts w:ascii="仿宋" w:hAnsi="仿宋" w:eastAsia="仿宋" w:cs="仿宋"/>
                <w:color w:val="auto"/>
                <w:sz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0D28EA87">
            <w:pPr>
              <w:tabs>
                <w:tab w:val="left" w:pos="9765"/>
              </w:tabs>
              <w:snapToGrid w:val="0"/>
              <w:spacing w:line="360" w:lineRule="auto"/>
              <w:rPr>
                <w:rFonts w:ascii="仿宋" w:hAnsi="仿宋" w:eastAsia="仿宋" w:cs="仿宋"/>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tcPr>
          <w:p w14:paraId="18B4B24B">
            <w:pPr>
              <w:tabs>
                <w:tab w:val="left" w:pos="9765"/>
              </w:tabs>
              <w:snapToGrid w:val="0"/>
              <w:spacing w:line="360" w:lineRule="auto"/>
              <w:rPr>
                <w:rFonts w:ascii="仿宋" w:hAnsi="仿宋" w:eastAsia="仿宋" w:cs="仿宋"/>
                <w:color w:val="auto"/>
                <w:sz w:val="24"/>
                <w:highlight w:val="none"/>
              </w:rPr>
            </w:pPr>
          </w:p>
        </w:tc>
      </w:tr>
      <w:tr w14:paraId="30A40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5EF68482">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6CD3A07">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8780FF8">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5EEB71E4">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45F0EED1">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10E07CD8">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0B84AC5">
            <w:pPr>
              <w:tabs>
                <w:tab w:val="left" w:pos="9765"/>
              </w:tabs>
              <w:snapToGrid w:val="0"/>
              <w:spacing w:line="360" w:lineRule="auto"/>
              <w:rPr>
                <w:rFonts w:ascii="仿宋" w:hAnsi="仿宋" w:eastAsia="仿宋" w:cs="仿宋"/>
                <w:color w:val="auto"/>
                <w:sz w:val="24"/>
                <w:highlight w:val="none"/>
              </w:rPr>
            </w:pPr>
          </w:p>
        </w:tc>
        <w:tc>
          <w:tcPr>
            <w:tcW w:w="945" w:type="dxa"/>
            <w:tcBorders>
              <w:top w:val="single" w:color="auto" w:sz="4" w:space="0"/>
              <w:left w:val="single" w:color="auto" w:sz="4" w:space="0"/>
              <w:bottom w:val="single" w:color="auto" w:sz="4" w:space="0"/>
              <w:right w:val="single" w:color="auto" w:sz="4" w:space="0"/>
            </w:tcBorders>
          </w:tcPr>
          <w:p w14:paraId="2468A38D">
            <w:pPr>
              <w:tabs>
                <w:tab w:val="left" w:pos="9765"/>
              </w:tabs>
              <w:snapToGrid w:val="0"/>
              <w:spacing w:line="360" w:lineRule="auto"/>
              <w:rPr>
                <w:rFonts w:ascii="仿宋" w:hAnsi="仿宋" w:eastAsia="仿宋" w:cs="仿宋"/>
                <w:color w:val="auto"/>
                <w:sz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1EFDCCF1">
            <w:pPr>
              <w:tabs>
                <w:tab w:val="left" w:pos="9765"/>
              </w:tabs>
              <w:snapToGrid w:val="0"/>
              <w:spacing w:line="360" w:lineRule="auto"/>
              <w:rPr>
                <w:rFonts w:ascii="仿宋" w:hAnsi="仿宋" w:eastAsia="仿宋" w:cs="仿宋"/>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tcPr>
          <w:p w14:paraId="10A2F78B">
            <w:pPr>
              <w:tabs>
                <w:tab w:val="left" w:pos="9765"/>
              </w:tabs>
              <w:snapToGrid w:val="0"/>
              <w:spacing w:line="360" w:lineRule="auto"/>
              <w:rPr>
                <w:rFonts w:ascii="仿宋" w:hAnsi="仿宋" w:eastAsia="仿宋" w:cs="仿宋"/>
                <w:color w:val="auto"/>
                <w:sz w:val="24"/>
                <w:highlight w:val="none"/>
              </w:rPr>
            </w:pPr>
          </w:p>
        </w:tc>
      </w:tr>
      <w:tr w14:paraId="030F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14:paraId="356D08E0">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CF1C84B">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4C1A41DB">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22220F8">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04256303">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23E2ED7">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23A89833">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945" w:type="dxa"/>
            <w:tcBorders>
              <w:top w:val="single" w:color="auto" w:sz="4" w:space="0"/>
              <w:left w:val="single" w:color="auto" w:sz="4" w:space="0"/>
              <w:bottom w:val="single" w:color="auto" w:sz="4" w:space="0"/>
              <w:right w:val="single" w:color="auto" w:sz="4" w:space="0"/>
            </w:tcBorders>
          </w:tcPr>
          <w:p w14:paraId="6E4BC33E">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024" w:type="dxa"/>
            <w:tcBorders>
              <w:top w:val="single" w:color="auto" w:sz="4" w:space="0"/>
              <w:left w:val="single" w:color="auto" w:sz="4" w:space="0"/>
              <w:bottom w:val="single" w:color="auto" w:sz="4" w:space="0"/>
              <w:right w:val="single" w:color="auto" w:sz="4" w:space="0"/>
            </w:tcBorders>
          </w:tcPr>
          <w:p w14:paraId="09DD4DA4">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c>
          <w:tcPr>
            <w:tcW w:w="1650" w:type="dxa"/>
            <w:tcBorders>
              <w:top w:val="single" w:color="auto" w:sz="4" w:space="0"/>
              <w:left w:val="single" w:color="auto" w:sz="4" w:space="0"/>
              <w:bottom w:val="single" w:color="auto" w:sz="4" w:space="0"/>
              <w:right w:val="single" w:color="auto" w:sz="4" w:space="0"/>
            </w:tcBorders>
          </w:tcPr>
          <w:p w14:paraId="1B25479E">
            <w:pPr>
              <w:tabs>
                <w:tab w:val="left" w:pos="9765"/>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w:t>
            </w:r>
          </w:p>
        </w:tc>
      </w:tr>
    </w:tbl>
    <w:p w14:paraId="137085F2">
      <w:pPr>
        <w:tabs>
          <w:tab w:val="left" w:pos="9765"/>
        </w:tabs>
        <w:autoSpaceDE w:val="0"/>
        <w:autoSpaceDN w:val="0"/>
        <w:adjustRightInd w:val="0"/>
        <w:snapToGrid w:val="0"/>
        <w:rPr>
          <w:rFonts w:ascii="仿宋" w:hAnsi="仿宋" w:eastAsia="仿宋" w:cs="仿宋"/>
          <w:b/>
          <w:color w:val="auto"/>
          <w:sz w:val="24"/>
          <w:highlight w:val="none"/>
          <w:lang w:val="zh-CN"/>
        </w:rPr>
      </w:pPr>
    </w:p>
    <w:p w14:paraId="11384547">
      <w:pPr>
        <w:snapToGrid w:val="0"/>
        <w:spacing w:line="360" w:lineRule="auto"/>
        <w:rPr>
          <w:rFonts w:ascii="仿宋" w:hAnsi="仿宋" w:eastAsia="仿宋" w:cs="仿宋"/>
          <w:color w:val="auto"/>
          <w:sz w:val="24"/>
          <w:highlight w:val="none"/>
        </w:rPr>
      </w:pPr>
    </w:p>
    <w:p w14:paraId="509972C2">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供应商（盖章）：                    </w:t>
      </w:r>
    </w:p>
    <w:p w14:paraId="395646C7">
      <w:pPr>
        <w:spacing w:line="360" w:lineRule="auto"/>
        <w:jc w:val="left"/>
        <w:rPr>
          <w:rFonts w:ascii="仿宋" w:hAnsi="仿宋" w:eastAsia="仿宋" w:cs="仿宋"/>
          <w:color w:val="auto"/>
          <w:sz w:val="24"/>
          <w:highlight w:val="none"/>
        </w:rPr>
      </w:pPr>
    </w:p>
    <w:p w14:paraId="5DF144B6">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法定代表人或授权代理人（签字或盖章）：</w:t>
      </w:r>
    </w:p>
    <w:p w14:paraId="40EF85B1">
      <w:pPr>
        <w:spacing w:line="360" w:lineRule="auto"/>
        <w:jc w:val="left"/>
        <w:rPr>
          <w:rFonts w:ascii="仿宋" w:hAnsi="仿宋" w:eastAsia="仿宋" w:cs="仿宋"/>
          <w:color w:val="auto"/>
          <w:sz w:val="24"/>
          <w:highlight w:val="none"/>
        </w:rPr>
      </w:pPr>
    </w:p>
    <w:p w14:paraId="48084237">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168E0F63">
      <w:pPr>
        <w:widowControl/>
        <w:rPr>
          <w:rFonts w:ascii="仿宋" w:hAnsi="仿宋" w:eastAsia="仿宋"/>
          <w:color w:val="auto"/>
          <w:kern w:val="1"/>
          <w:sz w:val="24"/>
          <w:highlight w:val="none"/>
        </w:rPr>
      </w:pPr>
      <w:r>
        <w:rPr>
          <w:color w:val="auto"/>
          <w:kern w:val="0"/>
          <w:sz w:val="22"/>
          <w:highlight w:val="none"/>
        </w:rPr>
        <w:br w:type="page"/>
      </w:r>
    </w:p>
    <w:p w14:paraId="593C4CAD">
      <w:pPr>
        <w:rPr>
          <w:color w:val="auto"/>
          <w:sz w:val="24"/>
          <w:szCs w:val="20"/>
          <w:highlight w:val="none"/>
        </w:rPr>
      </w:pPr>
    </w:p>
    <w:p w14:paraId="1DCF28AB">
      <w:pPr>
        <w:spacing w:line="480" w:lineRule="auto"/>
        <w:jc w:val="left"/>
        <w:outlineLvl w:val="1"/>
        <w:rPr>
          <w:rFonts w:ascii="仿宋" w:hAnsi="仿宋" w:eastAsia="仿宋"/>
          <w:b/>
          <w:color w:val="auto"/>
          <w:sz w:val="24"/>
          <w:szCs w:val="21"/>
          <w:highlight w:val="none"/>
        </w:rPr>
      </w:pPr>
      <w:r>
        <w:rPr>
          <w:rFonts w:hint="eastAsia" w:ascii="仿宋" w:hAnsi="仿宋" w:eastAsia="仿宋"/>
          <w:b/>
          <w:color w:val="auto"/>
          <w:sz w:val="24"/>
          <w:szCs w:val="21"/>
          <w:highlight w:val="none"/>
        </w:rPr>
        <w:t>附件9：</w:t>
      </w:r>
    </w:p>
    <w:p w14:paraId="6E1D2791">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相关业绩案例一览表</w:t>
      </w:r>
    </w:p>
    <w:p w14:paraId="2A5187F7">
      <w:pPr>
        <w:spacing w:line="360" w:lineRule="auto"/>
        <w:jc w:val="center"/>
        <w:rPr>
          <w:rFonts w:ascii="宋体" w:hAnsi="宋体"/>
          <w:b/>
          <w:color w:val="auto"/>
          <w:sz w:val="28"/>
          <w:szCs w:val="30"/>
          <w:highlight w:val="none"/>
        </w:rPr>
      </w:pPr>
    </w:p>
    <w:p w14:paraId="4DE70F35">
      <w:pPr>
        <w:spacing w:line="360" w:lineRule="auto"/>
        <w:ind w:firstLine="480" w:firstLineChars="200"/>
        <w:rPr>
          <w:rFonts w:ascii="宋体" w:hAnsi="宋体" w:cs="宋体"/>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宋体"/>
          <w:color w:val="auto"/>
          <w:sz w:val="24"/>
          <w:highlight w:val="none"/>
        </w:rPr>
        <w:t>：</w:t>
      </w:r>
      <w:r>
        <w:rPr>
          <w:rFonts w:hint="eastAsia" w:ascii="仿宋" w:hAnsi="仿宋" w:eastAsia="仿宋" w:cs="仿宋"/>
          <w:color w:val="auto"/>
          <w:sz w:val="24"/>
          <w:highlight w:val="none"/>
        </w:rPr>
        <w:t>ZYJS-SC2025007</w:t>
      </w:r>
      <w:r>
        <w:rPr>
          <w:rFonts w:hint="eastAsia" w:ascii="仿宋" w:hAnsi="仿宋" w:eastAsia="仿宋" w:cs="宋体"/>
          <w:color w:val="auto"/>
          <w:sz w:val="24"/>
          <w:highlight w:val="none"/>
        </w:rPr>
        <w:t xml:space="preserve"> </w:t>
      </w:r>
    </w:p>
    <w:tbl>
      <w:tblPr>
        <w:tblStyle w:val="22"/>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14:paraId="1F263FB6">
        <w:tblPrEx>
          <w:tblCellMar>
            <w:top w:w="0" w:type="dxa"/>
            <w:left w:w="108" w:type="dxa"/>
            <w:bottom w:w="0" w:type="dxa"/>
            <w:right w:w="108" w:type="dxa"/>
          </w:tblCellMar>
        </w:tblPrEx>
        <w:trPr>
          <w:trHeight w:val="498" w:hRule="atLeast"/>
          <w:jc w:val="center"/>
        </w:trPr>
        <w:tc>
          <w:tcPr>
            <w:tcW w:w="1284" w:type="dxa"/>
            <w:tcBorders>
              <w:top w:val="single" w:color="000000" w:sz="6" w:space="0"/>
              <w:left w:val="single" w:color="000000" w:sz="6" w:space="0"/>
              <w:bottom w:val="single" w:color="000000" w:sz="6" w:space="0"/>
              <w:right w:val="single" w:color="000000" w:sz="6" w:space="0"/>
            </w:tcBorders>
            <w:vAlign w:val="center"/>
          </w:tcPr>
          <w:p w14:paraId="331C661B">
            <w:pPr>
              <w:tabs>
                <w:tab w:val="left" w:pos="9765"/>
              </w:tabs>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项目时间</w:t>
            </w:r>
          </w:p>
        </w:tc>
        <w:tc>
          <w:tcPr>
            <w:tcW w:w="1681" w:type="dxa"/>
            <w:tcBorders>
              <w:top w:val="single" w:color="000000" w:sz="6" w:space="0"/>
              <w:left w:val="single" w:color="000000" w:sz="6" w:space="0"/>
              <w:bottom w:val="single" w:color="000000" w:sz="6" w:space="0"/>
              <w:right w:val="single" w:color="000000" w:sz="6" w:space="0"/>
            </w:tcBorders>
            <w:vAlign w:val="center"/>
          </w:tcPr>
          <w:p w14:paraId="6B69925D">
            <w:pPr>
              <w:tabs>
                <w:tab w:val="left" w:pos="9765"/>
              </w:tabs>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项目甲方单位</w:t>
            </w:r>
          </w:p>
        </w:tc>
        <w:tc>
          <w:tcPr>
            <w:tcW w:w="1521" w:type="dxa"/>
            <w:tcBorders>
              <w:top w:val="single" w:color="000000" w:sz="6" w:space="0"/>
              <w:left w:val="single" w:color="000000" w:sz="6" w:space="0"/>
              <w:bottom w:val="single" w:color="000000" w:sz="6" w:space="0"/>
              <w:right w:val="single" w:color="000000" w:sz="6" w:space="0"/>
            </w:tcBorders>
            <w:vAlign w:val="center"/>
          </w:tcPr>
          <w:p w14:paraId="2EC6986F">
            <w:pPr>
              <w:tabs>
                <w:tab w:val="left" w:pos="9765"/>
              </w:tabs>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项目名称</w:t>
            </w:r>
          </w:p>
        </w:tc>
        <w:tc>
          <w:tcPr>
            <w:tcW w:w="1198" w:type="dxa"/>
            <w:tcBorders>
              <w:top w:val="single" w:color="000000" w:sz="6" w:space="0"/>
              <w:left w:val="single" w:color="000000" w:sz="6" w:space="0"/>
              <w:bottom w:val="single" w:color="000000" w:sz="6" w:space="0"/>
              <w:right w:val="single" w:color="000000" w:sz="6" w:space="0"/>
            </w:tcBorders>
            <w:vAlign w:val="center"/>
          </w:tcPr>
          <w:p w14:paraId="2D09FDB3">
            <w:pPr>
              <w:tabs>
                <w:tab w:val="left" w:pos="9765"/>
              </w:tabs>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合同金额</w:t>
            </w:r>
          </w:p>
        </w:tc>
        <w:tc>
          <w:tcPr>
            <w:tcW w:w="1730" w:type="dxa"/>
            <w:tcBorders>
              <w:top w:val="single" w:color="000000" w:sz="6" w:space="0"/>
              <w:left w:val="single" w:color="000000" w:sz="6" w:space="0"/>
              <w:bottom w:val="single" w:color="000000" w:sz="6" w:space="0"/>
              <w:right w:val="single" w:color="000000" w:sz="6" w:space="0"/>
            </w:tcBorders>
            <w:vAlign w:val="center"/>
          </w:tcPr>
          <w:p w14:paraId="71E4C2C5">
            <w:pPr>
              <w:tabs>
                <w:tab w:val="left" w:pos="9765"/>
              </w:tabs>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单位地址</w:t>
            </w:r>
          </w:p>
        </w:tc>
        <w:tc>
          <w:tcPr>
            <w:tcW w:w="1597" w:type="dxa"/>
            <w:tcBorders>
              <w:top w:val="single" w:color="000000" w:sz="6" w:space="0"/>
              <w:left w:val="single" w:color="000000" w:sz="6" w:space="0"/>
              <w:bottom w:val="single" w:color="000000" w:sz="6" w:space="0"/>
              <w:right w:val="single" w:color="000000" w:sz="6" w:space="0"/>
            </w:tcBorders>
            <w:vAlign w:val="center"/>
          </w:tcPr>
          <w:p w14:paraId="4F9EEDAE">
            <w:pPr>
              <w:tabs>
                <w:tab w:val="left" w:pos="9765"/>
              </w:tabs>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p>
        </w:tc>
      </w:tr>
      <w:tr w14:paraId="2310790D">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vAlign w:val="center"/>
          </w:tcPr>
          <w:p w14:paraId="5F15EB57">
            <w:pPr>
              <w:tabs>
                <w:tab w:val="left" w:pos="9765"/>
              </w:tabs>
              <w:spacing w:line="360" w:lineRule="auto"/>
              <w:jc w:val="center"/>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vAlign w:val="center"/>
          </w:tcPr>
          <w:p w14:paraId="11AAF510">
            <w:pPr>
              <w:tabs>
                <w:tab w:val="left" w:pos="9765"/>
              </w:tabs>
              <w:spacing w:line="360" w:lineRule="auto"/>
              <w:jc w:val="center"/>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vAlign w:val="center"/>
          </w:tcPr>
          <w:p w14:paraId="6FA2C57C">
            <w:pPr>
              <w:tabs>
                <w:tab w:val="left" w:pos="9765"/>
              </w:tabs>
              <w:spacing w:line="360" w:lineRule="auto"/>
              <w:jc w:val="center"/>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vAlign w:val="center"/>
          </w:tcPr>
          <w:p w14:paraId="2890B525">
            <w:pPr>
              <w:tabs>
                <w:tab w:val="left" w:pos="9765"/>
              </w:tabs>
              <w:spacing w:line="360" w:lineRule="auto"/>
              <w:jc w:val="center"/>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vAlign w:val="center"/>
          </w:tcPr>
          <w:p w14:paraId="0E37C8B5">
            <w:pPr>
              <w:tabs>
                <w:tab w:val="left" w:pos="9765"/>
              </w:tabs>
              <w:spacing w:line="360" w:lineRule="auto"/>
              <w:ind w:hanging="523"/>
              <w:jc w:val="center"/>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vAlign w:val="center"/>
          </w:tcPr>
          <w:p w14:paraId="52C0BD53">
            <w:pPr>
              <w:tabs>
                <w:tab w:val="left" w:pos="9765"/>
              </w:tabs>
              <w:spacing w:line="360" w:lineRule="auto"/>
              <w:ind w:hanging="523"/>
              <w:jc w:val="center"/>
              <w:rPr>
                <w:rFonts w:ascii="仿宋" w:hAnsi="仿宋" w:eastAsia="仿宋" w:cs="仿宋"/>
                <w:color w:val="auto"/>
                <w:sz w:val="24"/>
                <w:highlight w:val="none"/>
              </w:rPr>
            </w:pPr>
          </w:p>
        </w:tc>
      </w:tr>
      <w:tr w14:paraId="3BB83BA6">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151A69BD">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56A3275F">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1C67077D">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3A01DDBA">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11B4D4B7">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233E23B2">
            <w:pPr>
              <w:tabs>
                <w:tab w:val="left" w:pos="9765"/>
              </w:tabs>
              <w:spacing w:line="360" w:lineRule="auto"/>
              <w:rPr>
                <w:rFonts w:ascii="仿宋" w:hAnsi="仿宋" w:eastAsia="仿宋" w:cs="仿宋"/>
                <w:color w:val="auto"/>
                <w:sz w:val="24"/>
                <w:highlight w:val="none"/>
              </w:rPr>
            </w:pPr>
          </w:p>
        </w:tc>
      </w:tr>
      <w:tr w14:paraId="75EE3A2E">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49854C58">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56BB3E59">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4E613887">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0CA96EB8">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11B7126B">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683C05AD">
            <w:pPr>
              <w:tabs>
                <w:tab w:val="left" w:pos="9765"/>
              </w:tabs>
              <w:spacing w:line="360" w:lineRule="auto"/>
              <w:rPr>
                <w:rFonts w:ascii="仿宋" w:hAnsi="仿宋" w:eastAsia="仿宋" w:cs="仿宋"/>
                <w:color w:val="auto"/>
                <w:sz w:val="24"/>
                <w:highlight w:val="none"/>
              </w:rPr>
            </w:pPr>
          </w:p>
        </w:tc>
      </w:tr>
      <w:tr w14:paraId="2A90B129">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35706EAE">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0BFA976A">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68AE9AF6">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29BA4EA0">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221304A7">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0BE1AF09">
            <w:pPr>
              <w:tabs>
                <w:tab w:val="left" w:pos="9765"/>
              </w:tabs>
              <w:spacing w:line="360" w:lineRule="auto"/>
              <w:rPr>
                <w:rFonts w:ascii="仿宋" w:hAnsi="仿宋" w:eastAsia="仿宋" w:cs="仿宋"/>
                <w:color w:val="auto"/>
                <w:sz w:val="24"/>
                <w:highlight w:val="none"/>
              </w:rPr>
            </w:pPr>
          </w:p>
        </w:tc>
      </w:tr>
      <w:tr w14:paraId="55E13C63">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13B7037D">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77B896FD">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2C7DA199">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3F01F396">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7E6239EF">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119AE7CE">
            <w:pPr>
              <w:tabs>
                <w:tab w:val="left" w:pos="9765"/>
              </w:tabs>
              <w:spacing w:line="360" w:lineRule="auto"/>
              <w:rPr>
                <w:rFonts w:ascii="仿宋" w:hAnsi="仿宋" w:eastAsia="仿宋" w:cs="仿宋"/>
                <w:color w:val="auto"/>
                <w:sz w:val="24"/>
                <w:highlight w:val="none"/>
              </w:rPr>
            </w:pPr>
          </w:p>
        </w:tc>
      </w:tr>
      <w:tr w14:paraId="04B953C4">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7A3D50DF">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4B418961">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638C8686">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3F5A931A">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3A8335F9">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6E81C018">
            <w:pPr>
              <w:tabs>
                <w:tab w:val="left" w:pos="9765"/>
              </w:tabs>
              <w:spacing w:line="360" w:lineRule="auto"/>
              <w:rPr>
                <w:rFonts w:ascii="仿宋" w:hAnsi="仿宋" w:eastAsia="仿宋" w:cs="仿宋"/>
                <w:color w:val="auto"/>
                <w:sz w:val="24"/>
                <w:highlight w:val="none"/>
              </w:rPr>
            </w:pPr>
          </w:p>
        </w:tc>
      </w:tr>
      <w:tr w14:paraId="57473F64">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485B31AB">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5192FF3F">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5F1B6CA0">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53EB0E64">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2B7E19A8">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2C684A12">
            <w:pPr>
              <w:tabs>
                <w:tab w:val="left" w:pos="9765"/>
              </w:tabs>
              <w:spacing w:line="360" w:lineRule="auto"/>
              <w:rPr>
                <w:rFonts w:ascii="仿宋" w:hAnsi="仿宋" w:eastAsia="仿宋" w:cs="仿宋"/>
                <w:color w:val="auto"/>
                <w:sz w:val="24"/>
                <w:highlight w:val="none"/>
              </w:rPr>
            </w:pPr>
          </w:p>
        </w:tc>
      </w:tr>
      <w:tr w14:paraId="192DE453">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00873677">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2D5F0E25">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539F1A63">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1A1C0E26">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056B7C30">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6050F711">
            <w:pPr>
              <w:tabs>
                <w:tab w:val="left" w:pos="9765"/>
              </w:tabs>
              <w:spacing w:line="360" w:lineRule="auto"/>
              <w:rPr>
                <w:rFonts w:ascii="仿宋" w:hAnsi="仿宋" w:eastAsia="仿宋" w:cs="仿宋"/>
                <w:color w:val="auto"/>
                <w:sz w:val="24"/>
                <w:highlight w:val="none"/>
              </w:rPr>
            </w:pPr>
          </w:p>
        </w:tc>
      </w:tr>
      <w:tr w14:paraId="63F107B1">
        <w:tblPrEx>
          <w:tblCellMar>
            <w:top w:w="0" w:type="dxa"/>
            <w:left w:w="108" w:type="dxa"/>
            <w:bottom w:w="0" w:type="dxa"/>
            <w:right w:w="108" w:type="dxa"/>
          </w:tblCellMar>
        </w:tblPrEx>
        <w:trPr>
          <w:jc w:val="center"/>
        </w:trPr>
        <w:tc>
          <w:tcPr>
            <w:tcW w:w="1284" w:type="dxa"/>
            <w:tcBorders>
              <w:top w:val="single" w:color="000000" w:sz="6" w:space="0"/>
              <w:left w:val="single" w:color="000000" w:sz="6" w:space="0"/>
              <w:bottom w:val="single" w:color="000000" w:sz="6" w:space="0"/>
              <w:right w:val="single" w:color="000000" w:sz="6" w:space="0"/>
            </w:tcBorders>
          </w:tcPr>
          <w:p w14:paraId="49658021">
            <w:pPr>
              <w:tabs>
                <w:tab w:val="left" w:pos="9765"/>
              </w:tabs>
              <w:spacing w:line="360" w:lineRule="auto"/>
              <w:rPr>
                <w:rFonts w:ascii="仿宋" w:hAnsi="仿宋" w:eastAsia="仿宋" w:cs="仿宋"/>
                <w:color w:val="auto"/>
                <w:sz w:val="24"/>
                <w:highlight w:val="none"/>
              </w:rPr>
            </w:pPr>
          </w:p>
        </w:tc>
        <w:tc>
          <w:tcPr>
            <w:tcW w:w="1681" w:type="dxa"/>
            <w:tcBorders>
              <w:top w:val="single" w:color="000000" w:sz="6" w:space="0"/>
              <w:left w:val="single" w:color="000000" w:sz="6" w:space="0"/>
              <w:bottom w:val="single" w:color="000000" w:sz="6" w:space="0"/>
              <w:right w:val="single" w:color="000000" w:sz="6" w:space="0"/>
            </w:tcBorders>
          </w:tcPr>
          <w:p w14:paraId="7265091D">
            <w:pPr>
              <w:tabs>
                <w:tab w:val="left" w:pos="9765"/>
              </w:tabs>
              <w:spacing w:line="360" w:lineRule="auto"/>
              <w:rPr>
                <w:rFonts w:ascii="仿宋" w:hAnsi="仿宋" w:eastAsia="仿宋" w:cs="仿宋"/>
                <w:color w:val="auto"/>
                <w:sz w:val="24"/>
                <w:highlight w:val="none"/>
              </w:rPr>
            </w:pPr>
          </w:p>
        </w:tc>
        <w:tc>
          <w:tcPr>
            <w:tcW w:w="1521" w:type="dxa"/>
            <w:tcBorders>
              <w:top w:val="single" w:color="000000" w:sz="6" w:space="0"/>
              <w:left w:val="single" w:color="000000" w:sz="6" w:space="0"/>
              <w:bottom w:val="single" w:color="000000" w:sz="6" w:space="0"/>
              <w:right w:val="single" w:color="000000" w:sz="6" w:space="0"/>
            </w:tcBorders>
          </w:tcPr>
          <w:p w14:paraId="280A7367">
            <w:pPr>
              <w:tabs>
                <w:tab w:val="left" w:pos="9765"/>
              </w:tabs>
              <w:spacing w:line="360" w:lineRule="auto"/>
              <w:rPr>
                <w:rFonts w:ascii="仿宋" w:hAnsi="仿宋" w:eastAsia="仿宋" w:cs="仿宋"/>
                <w:color w:val="auto"/>
                <w:sz w:val="24"/>
                <w:highlight w:val="none"/>
              </w:rPr>
            </w:pPr>
          </w:p>
        </w:tc>
        <w:tc>
          <w:tcPr>
            <w:tcW w:w="1198" w:type="dxa"/>
            <w:tcBorders>
              <w:top w:val="single" w:color="000000" w:sz="6" w:space="0"/>
              <w:left w:val="single" w:color="000000" w:sz="6" w:space="0"/>
              <w:bottom w:val="single" w:color="000000" w:sz="6" w:space="0"/>
              <w:right w:val="single" w:color="000000" w:sz="6" w:space="0"/>
            </w:tcBorders>
          </w:tcPr>
          <w:p w14:paraId="0ADED214">
            <w:pPr>
              <w:tabs>
                <w:tab w:val="left" w:pos="9765"/>
              </w:tabs>
              <w:spacing w:line="360" w:lineRule="auto"/>
              <w:rPr>
                <w:rFonts w:ascii="仿宋" w:hAnsi="仿宋" w:eastAsia="仿宋" w:cs="仿宋"/>
                <w:color w:val="auto"/>
                <w:sz w:val="24"/>
                <w:highlight w:val="none"/>
              </w:rPr>
            </w:pPr>
          </w:p>
        </w:tc>
        <w:tc>
          <w:tcPr>
            <w:tcW w:w="1730" w:type="dxa"/>
            <w:tcBorders>
              <w:top w:val="single" w:color="000000" w:sz="6" w:space="0"/>
              <w:left w:val="single" w:color="000000" w:sz="6" w:space="0"/>
              <w:bottom w:val="single" w:color="000000" w:sz="6" w:space="0"/>
              <w:right w:val="single" w:color="000000" w:sz="6" w:space="0"/>
            </w:tcBorders>
          </w:tcPr>
          <w:p w14:paraId="6DCAD18A">
            <w:pPr>
              <w:tabs>
                <w:tab w:val="left" w:pos="9765"/>
              </w:tabs>
              <w:spacing w:line="360" w:lineRule="auto"/>
              <w:rPr>
                <w:rFonts w:ascii="仿宋" w:hAnsi="仿宋" w:eastAsia="仿宋" w:cs="仿宋"/>
                <w:color w:val="auto"/>
                <w:sz w:val="24"/>
                <w:highlight w:val="none"/>
              </w:rPr>
            </w:pPr>
          </w:p>
        </w:tc>
        <w:tc>
          <w:tcPr>
            <w:tcW w:w="1597" w:type="dxa"/>
            <w:tcBorders>
              <w:top w:val="single" w:color="000000" w:sz="6" w:space="0"/>
              <w:left w:val="single" w:color="000000" w:sz="6" w:space="0"/>
              <w:bottom w:val="single" w:color="000000" w:sz="6" w:space="0"/>
              <w:right w:val="single" w:color="000000" w:sz="6" w:space="0"/>
            </w:tcBorders>
          </w:tcPr>
          <w:p w14:paraId="05CC253E">
            <w:pPr>
              <w:tabs>
                <w:tab w:val="left" w:pos="9765"/>
              </w:tabs>
              <w:spacing w:line="360" w:lineRule="auto"/>
              <w:rPr>
                <w:rFonts w:ascii="仿宋" w:hAnsi="仿宋" w:eastAsia="仿宋" w:cs="仿宋"/>
                <w:color w:val="auto"/>
                <w:sz w:val="24"/>
                <w:highlight w:val="none"/>
              </w:rPr>
            </w:pPr>
          </w:p>
        </w:tc>
      </w:tr>
    </w:tbl>
    <w:p w14:paraId="4A2657DC">
      <w:pPr>
        <w:tabs>
          <w:tab w:val="left" w:pos="9765"/>
        </w:tabs>
        <w:rPr>
          <w:rFonts w:ascii="仿宋" w:hAnsi="仿宋" w:eastAsia="仿宋" w:cs="仿宋"/>
          <w:color w:val="auto"/>
          <w:sz w:val="24"/>
          <w:highlight w:val="none"/>
          <w:lang w:val="zh-CN"/>
        </w:rPr>
      </w:pPr>
    </w:p>
    <w:p w14:paraId="48D4EAE1">
      <w:pPr>
        <w:spacing w:line="360" w:lineRule="auto"/>
        <w:rPr>
          <w:rFonts w:ascii="仿宋" w:hAnsi="仿宋" w:eastAsia="仿宋" w:cs="仿宋"/>
          <w:color w:val="auto"/>
          <w:sz w:val="24"/>
          <w:highlight w:val="none"/>
        </w:rPr>
      </w:pPr>
    </w:p>
    <w:p w14:paraId="25124A53">
      <w:pPr>
        <w:spacing w:before="25" w:after="25"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rPr>
        <w:t>供应商名称（加盖公章）</w:t>
      </w:r>
      <w:r>
        <w:rPr>
          <w:rFonts w:hint="eastAsia" w:ascii="仿宋" w:hAnsi="仿宋" w:eastAsia="仿宋" w:cs="仿宋"/>
          <w:color w:val="auto"/>
          <w:sz w:val="24"/>
          <w:highlight w:val="none"/>
          <w:lang w:val="zh-CN"/>
        </w:rPr>
        <w:t>：    ____________</w:t>
      </w:r>
    </w:p>
    <w:p w14:paraId="2F4E313B">
      <w:pPr>
        <w:spacing w:before="25" w:after="25" w:line="360" w:lineRule="auto"/>
        <w:rPr>
          <w:color w:val="auto"/>
          <w:sz w:val="24"/>
          <w:highlight w:val="none"/>
          <w:lang w:val="zh-CN"/>
        </w:rPr>
      </w:pPr>
      <w:r>
        <w:rPr>
          <w:rFonts w:hint="eastAsia" w:ascii="仿宋" w:hAnsi="仿宋" w:eastAsia="仿宋" w:cs="仿宋"/>
          <w:color w:val="auto"/>
          <w:sz w:val="24"/>
          <w:szCs w:val="20"/>
          <w:highlight w:val="none"/>
        </w:rPr>
        <w:t xml:space="preserve">日期：_____年______月______日   </w:t>
      </w:r>
    </w:p>
    <w:p w14:paraId="18E22C27">
      <w:pPr>
        <w:widowControl/>
        <w:jc w:val="left"/>
        <w:rPr>
          <w:rFonts w:ascii="仿宋" w:hAnsi="仿宋" w:eastAsia="仿宋" w:cs="仿宋"/>
          <w:b/>
          <w:bCs/>
          <w:color w:val="auto"/>
          <w:kern w:val="0"/>
          <w:sz w:val="24"/>
          <w:highlight w:val="none"/>
        </w:rPr>
      </w:pPr>
      <w:r>
        <w:rPr>
          <w:rFonts w:hint="eastAsia" w:ascii="仿宋" w:hAnsi="仿宋" w:eastAsia="仿宋"/>
          <w:b/>
          <w:color w:val="auto"/>
          <w:sz w:val="44"/>
          <w:szCs w:val="21"/>
          <w:highlight w:val="none"/>
        </w:rPr>
        <w:br w:type="page"/>
      </w:r>
    </w:p>
    <w:p w14:paraId="791E49B8">
      <w:pPr>
        <w:jc w:val="center"/>
        <w:rPr>
          <w:rFonts w:ascii="仿宋" w:hAnsi="仿宋" w:eastAsia="仿宋"/>
          <w:b/>
          <w:color w:val="auto"/>
          <w:sz w:val="44"/>
          <w:szCs w:val="21"/>
          <w:highlight w:val="none"/>
        </w:rPr>
      </w:pPr>
      <w:r>
        <w:rPr>
          <w:rFonts w:hint="eastAsia" w:ascii="仿宋" w:hAnsi="仿宋" w:eastAsia="仿宋"/>
          <w:b/>
          <w:color w:val="auto"/>
          <w:sz w:val="44"/>
          <w:szCs w:val="21"/>
          <w:highlight w:val="none"/>
        </w:rPr>
        <w:t>友 情 提 醒</w:t>
      </w:r>
    </w:p>
    <w:p w14:paraId="1D29B22B">
      <w:pPr>
        <w:spacing w:line="500" w:lineRule="exact"/>
        <w:ind w:firstLine="480" w:firstLineChars="200"/>
        <w:jc w:val="left"/>
        <w:rPr>
          <w:rFonts w:ascii="仿宋" w:hAnsi="仿宋" w:eastAsia="仿宋"/>
          <w:bCs/>
          <w:color w:val="auto"/>
          <w:sz w:val="24"/>
          <w:highlight w:val="none"/>
        </w:rPr>
      </w:pPr>
    </w:p>
    <w:p w14:paraId="42B8D434">
      <w:pPr>
        <w:spacing w:line="500" w:lineRule="exact"/>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供应商：</w:t>
      </w:r>
    </w:p>
    <w:p w14:paraId="434F0D61">
      <w:pPr>
        <w:spacing w:line="500" w:lineRule="exact"/>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您好！</w:t>
      </w:r>
      <w:bookmarkStart w:id="136" w:name="_GoBack"/>
      <w:bookmarkEnd w:id="136"/>
    </w:p>
    <w:p w14:paraId="3674E21D">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为了提高贵公司响应文件的有效性，减少不必要的废标，特友情提醒注意以下几点：</w:t>
      </w:r>
    </w:p>
    <w:p w14:paraId="0BC5B5D5">
      <w:pPr>
        <w:numPr>
          <w:ilvl w:val="0"/>
          <w:numId w:val="6"/>
        </w:num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请谨记磋商公告中的各项事宜时间节点，特别是磋商时间和地点。供应商应充分考虑天气及周边道路情况，在上述时间前到达开标现场。迟于响应文件递交截止时间的，采购代理机构将拒绝接收其响应文件。</w:t>
      </w:r>
    </w:p>
    <w:p w14:paraId="6BE70D43">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3、响应文件须按竞争性磋商文件《第二章 供应商须知》及《第六章 响应文件格式》中相关要求装订、密封、标记、盖章和签署。</w:t>
      </w:r>
      <w:r>
        <w:rPr>
          <w:rFonts w:hint="eastAsia" w:ascii="仿宋" w:hAnsi="仿宋" w:eastAsia="仿宋"/>
          <w:color w:val="auto"/>
          <w:sz w:val="24"/>
          <w:highlight w:val="none"/>
        </w:rPr>
        <w:t>所有</w:t>
      </w:r>
      <w:r>
        <w:rPr>
          <w:rFonts w:ascii="仿宋" w:hAnsi="仿宋" w:eastAsia="仿宋"/>
          <w:color w:val="auto"/>
          <w:sz w:val="24"/>
          <w:highlight w:val="none"/>
        </w:rPr>
        <w:t>响应文件密封口须加盖供应商公章、法定代表人或授权委托人签字或盖章。</w:t>
      </w:r>
      <w:r>
        <w:rPr>
          <w:rFonts w:hint="eastAsia" w:ascii="仿宋" w:hAnsi="仿宋" w:eastAsia="仿宋"/>
          <w:bCs/>
          <w:color w:val="auto"/>
          <w:sz w:val="24"/>
          <w:highlight w:val="none"/>
        </w:rPr>
        <w:t>资格证明材料提供复印件的应加盖公章，</w:t>
      </w:r>
      <w:r>
        <w:rPr>
          <w:rFonts w:hint="eastAsia" w:ascii="仿宋" w:hAnsi="仿宋" w:eastAsia="仿宋"/>
          <w:color w:val="auto"/>
          <w:sz w:val="24"/>
          <w:highlight w:val="none"/>
        </w:rPr>
        <w:t>复印件内容应清晰可辨，必要时磋商小组有权要求提供原件或公证件进行核对。</w:t>
      </w:r>
    </w:p>
    <w:p w14:paraId="3E6838BF">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4、若项目需要提供样品的，请严格按磋商文件要求的规格、时间提供，同时注意样品的密封、隐蔽标签的相关要求。</w:t>
      </w:r>
    </w:p>
    <w:p w14:paraId="34AEC1CF">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5、为充分掌握项目情况，可根据自身需要，自行对有关现场和周围环境进行勘察，以获取编制响应文件和签署合同所需的信息。</w:t>
      </w:r>
    </w:p>
    <w:p w14:paraId="738858C2">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6、本项目设有最高限价，详见竞争性磋商文件《第二章 供应商须知》，</w:t>
      </w:r>
      <w:r>
        <w:rPr>
          <w:rFonts w:hint="eastAsia" w:ascii="仿宋" w:hAnsi="仿宋" w:eastAsia="仿宋"/>
          <w:color w:val="auto"/>
          <w:sz w:val="24"/>
          <w:highlight w:val="none"/>
        </w:rPr>
        <w:t>报价超过采购最高限价，采购人无法接受的，将作为无效响应。</w:t>
      </w:r>
    </w:p>
    <w:p w14:paraId="6E3B49DA">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7、请仔细审阅磋商公告及磋商文件，如有疑问，请按磋商公告相关要求进行提疑。</w:t>
      </w:r>
    </w:p>
    <w:p w14:paraId="4CD02BD8">
      <w:pPr>
        <w:spacing w:line="500" w:lineRule="exact"/>
        <w:ind w:firstLine="480" w:firstLineChars="200"/>
        <w:jc w:val="left"/>
        <w:rPr>
          <w:rFonts w:ascii="仿宋" w:hAnsi="仿宋" w:eastAsia="仿宋"/>
          <w:bCs/>
          <w:color w:val="auto"/>
          <w:sz w:val="24"/>
          <w:highlight w:val="none"/>
        </w:rPr>
      </w:pPr>
    </w:p>
    <w:p w14:paraId="1CDA0D8F">
      <w:pPr>
        <w:spacing w:line="500" w:lineRule="exact"/>
        <w:jc w:val="left"/>
        <w:rPr>
          <w:rFonts w:ascii="仿宋" w:hAnsi="仿宋" w:eastAsia="仿宋"/>
          <w:bCs/>
          <w:color w:val="auto"/>
          <w:sz w:val="24"/>
          <w:highlight w:val="none"/>
        </w:rPr>
      </w:pPr>
      <w:r>
        <w:rPr>
          <w:rFonts w:hint="eastAsia" w:ascii="仿宋" w:hAnsi="仿宋" w:eastAsia="仿宋"/>
          <w:bCs/>
          <w:color w:val="auto"/>
          <w:sz w:val="24"/>
          <w:highlight w:val="none"/>
        </w:rPr>
        <w:t xml:space="preserve">    我们也欢迎您对我们的采购组织工作提出宝贵意见。电话：0519-85782055</w:t>
      </w:r>
    </w:p>
    <w:p w14:paraId="1C3C094B">
      <w:pPr>
        <w:spacing w:line="5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最后祝您竞标成功！</w:t>
      </w:r>
    </w:p>
    <w:p w14:paraId="018E6EF8">
      <w:pPr>
        <w:rPr>
          <w:rFonts w:ascii="仿宋" w:hAnsi="仿宋" w:eastAsia="仿宋"/>
          <w:color w:val="auto"/>
          <w:highlight w:val="none"/>
        </w:rPr>
      </w:pPr>
    </w:p>
    <w:p w14:paraId="0FA11E4E">
      <w:pPr>
        <w:spacing w:line="360" w:lineRule="auto"/>
        <w:jc w:val="center"/>
        <w:rPr>
          <w:color w:val="auto"/>
          <w:highlight w:val="none"/>
        </w:rPr>
      </w:pPr>
      <w:r>
        <w:rPr>
          <w:rFonts w:hint="eastAsia" w:ascii="仿宋" w:hAnsi="仿宋" w:eastAsia="仿宋"/>
          <w:bCs/>
          <w:color w:val="auto"/>
          <w:sz w:val="24"/>
          <w:highlight w:val="none"/>
        </w:rPr>
        <w:t>本竞争性磋商文件的最终解释权归常州中宇建设工程管理有限公司所有。</w:t>
      </w:r>
    </w:p>
    <w:bookmarkEnd w:id="130"/>
    <w:bookmarkEnd w:id="131"/>
    <w:bookmarkEnd w:id="132"/>
    <w:p w14:paraId="7D312A2A">
      <w:pPr>
        <w:spacing w:line="360" w:lineRule="auto"/>
        <w:jc w:val="center"/>
        <w:rPr>
          <w:color w:val="auto"/>
          <w:highlight w:val="none"/>
        </w:rPr>
      </w:pPr>
    </w:p>
    <w:p w14:paraId="037C321D">
      <w:pPr>
        <w:spacing w:line="360" w:lineRule="auto"/>
        <w:jc w:val="center"/>
        <w:rPr>
          <w:rFonts w:ascii="宋体" w:hAnsi="宋体"/>
          <w:color w:val="auto"/>
          <w:sz w:val="28"/>
          <w:szCs w:val="28"/>
          <w:highlight w:val="none"/>
        </w:rPr>
      </w:pPr>
      <w:r>
        <w:rPr>
          <w:rFonts w:hint="eastAsia" w:ascii="宋体" w:hAnsi="宋体"/>
          <w:b/>
          <w:color w:val="auto"/>
          <w:sz w:val="32"/>
          <w:highlight w:val="none"/>
        </w:rPr>
        <w:t>（全文完）</w:t>
      </w:r>
    </w:p>
    <w:p w14:paraId="3A76F483">
      <w:pPr>
        <w:rPr>
          <w:color w:val="auto"/>
          <w:highlight w:val="none"/>
        </w:rPr>
      </w:pPr>
    </w:p>
    <w:sectPr>
      <w:footerReference r:id="rId5" w:type="default"/>
      <w:pgSz w:w="11906" w:h="16838"/>
      <w:pgMar w:top="1134" w:right="1134"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7FFAEFF" w:usb1="F9DFFFFF" w:usb2="0000007F" w:usb3="00000000" w:csb0="203F01FF" w:csb1="DFFF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3F53">
    <w:pPr>
      <w:pStyle w:val="14"/>
      <w:framePr w:wrap="around" w:vAnchor="text" w:hAnchor="margin" w:y="1"/>
    </w:pPr>
    <w:r>
      <w:rPr>
        <w:rStyle w:val="26"/>
      </w:rPr>
      <w:fldChar w:fldCharType="begin"/>
    </w:r>
    <w:r>
      <w:rPr>
        <w:rStyle w:val="26"/>
      </w:rPr>
      <w:instrText xml:space="preserve"> PAGE  </w:instrText>
    </w:r>
    <w:r>
      <w:rPr>
        <w:rStyle w:val="26"/>
      </w:rPr>
      <w:fldChar w:fldCharType="separate"/>
    </w:r>
    <w:r>
      <w:rPr>
        <w:rStyle w:val="26"/>
      </w:rPr>
      <w:t>- 2 -</w:t>
    </w:r>
    <w:r>
      <w:rPr>
        <w:rStyle w:val="26"/>
      </w:rPr>
      <w:fldChar w:fldCharType="end"/>
    </w:r>
  </w:p>
  <w:p w14:paraId="46700BF7">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C9AE">
    <w:pPr>
      <w:rPr>
        <w:rFonts w:ascii="宋体" w:hAnsi="宋体" w:cs="宋体"/>
        <w:sz w:val="20"/>
        <w:szCs w:val="20"/>
      </w:rPr>
    </w:pPr>
    <w:r>
      <w:rPr>
        <w:rFonts w:ascii="宋体" w:hAnsi="宋体" w:cs="宋体"/>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16635" cy="16446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16635" cy="164465"/>
                      </a:xfrm>
                      <a:prstGeom prst="rect">
                        <a:avLst/>
                      </a:prstGeom>
                      <a:noFill/>
                      <a:ln>
                        <a:noFill/>
                      </a:ln>
                      <a:effectLst/>
                    </wps:spPr>
                    <wps:txbx>
                      <w:txbxContent>
                        <w:p w14:paraId="0C396FDD">
                          <w:pPr>
                            <w:pStyle w:val="14"/>
                            <w:rPr>
                              <w:rFonts w:ascii="宋体" w:hAnsi="宋体" w:eastAsia="宋体" w:cs="宋体"/>
                              <w:sz w:val="20"/>
                            </w:rPr>
                          </w:pPr>
                          <w:r>
                            <w:rPr>
                              <w:rFonts w:ascii="宋体" w:hAnsi="宋体" w:eastAsia="宋体" w:cs="宋体"/>
                              <w:sz w:val="20"/>
                            </w:rPr>
                            <w:t xml:space="preserve">第 </w:t>
                          </w:r>
                          <w:r>
                            <w:rPr>
                              <w:rFonts w:ascii="宋体" w:hAnsi="宋体" w:eastAsia="宋体" w:cs="宋体"/>
                              <w:sz w:val="20"/>
                            </w:rPr>
                            <w:fldChar w:fldCharType="begin"/>
                          </w:r>
                          <w:r>
                            <w:rPr>
                              <w:rFonts w:ascii="宋体" w:hAnsi="宋体" w:eastAsia="宋体" w:cs="宋体"/>
                              <w:sz w:val="20"/>
                            </w:rPr>
                            <w:instrText xml:space="preserve"> PAGE  \* MERGEFORMAT </w:instrText>
                          </w:r>
                          <w:r>
                            <w:rPr>
                              <w:rFonts w:ascii="宋体" w:hAnsi="宋体" w:eastAsia="宋体" w:cs="宋体"/>
                              <w:sz w:val="20"/>
                            </w:rPr>
                            <w:fldChar w:fldCharType="separate"/>
                          </w:r>
                          <w:r>
                            <w:rPr>
                              <w:rFonts w:ascii="宋体" w:hAnsi="宋体" w:eastAsia="宋体" w:cs="宋体"/>
                              <w:sz w:val="20"/>
                            </w:rPr>
                            <w:t>32</w:t>
                          </w:r>
                          <w:r>
                            <w:rPr>
                              <w:rFonts w:ascii="宋体" w:hAnsi="宋体" w:eastAsia="宋体" w:cs="宋体"/>
                              <w:sz w:val="20"/>
                            </w:rPr>
                            <w:fldChar w:fldCharType="end"/>
                          </w:r>
                          <w:r>
                            <w:rPr>
                              <w:rFonts w:ascii="宋体" w:hAnsi="宋体" w:eastAsia="宋体" w:cs="宋体"/>
                              <w:sz w:val="20"/>
                            </w:rPr>
                            <w:t xml:space="preserve"> 页 共 </w:t>
                          </w:r>
                          <w:r>
                            <w:rPr>
                              <w:rFonts w:hint="eastAsia" w:ascii="宋体" w:hAnsi="宋体" w:eastAsia="宋体" w:cs="宋体"/>
                              <w:sz w:val="20"/>
                            </w:rPr>
                            <w:t>4</w:t>
                          </w:r>
                          <w:r>
                            <w:rPr>
                              <w:rFonts w:hint="eastAsia" w:ascii="宋体" w:hAnsi="宋体" w:eastAsia="宋体" w:cs="宋体"/>
                              <w:sz w:val="20"/>
                              <w:lang w:val="en-US" w:eastAsia="zh-CN"/>
                            </w:rPr>
                            <w:t>4</w:t>
                          </w:r>
                          <w:r>
                            <w:rPr>
                              <w:rFonts w:ascii="宋体" w:hAnsi="宋体" w:eastAsia="宋体" w:cs="宋体"/>
                              <w:sz w:val="20"/>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95pt;width:80.05pt;mso-position-horizontal:right;mso-position-horizontal-relative:margin;mso-wrap-style:none;z-index:251660288;mso-width-relative:page;mso-height-relative:page;" filled="f" stroked="f" coordsize="21600,21600" o:gfxdata="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ndEjtIAAAAEAQAADwAAAAAAAAABACAAAAAi&#10;AAAAZHJzL2Rvd25yZXYueG1sUEsBAhQAFAAAAAgAh07iQMYwoJcQAgAAEQQAAA4AAAAAAAAAAQAg&#10;AAAAIQEAAGRycy9lMm9Eb2MueG1sUEsFBgAAAAAGAAYAWQEAAKMFAAAAAA==&#10;">
              <v:fill on="f" focussize="0,0"/>
              <v:stroke on="f"/>
              <v:imagedata o:title=""/>
              <o:lock v:ext="edit" aspectratio="f"/>
              <v:textbox inset="0mm,0mm,0mm,0mm" style="mso-fit-shape-to-text:t;">
                <w:txbxContent>
                  <w:p w14:paraId="0C396FDD">
                    <w:pPr>
                      <w:pStyle w:val="14"/>
                      <w:rPr>
                        <w:rFonts w:ascii="宋体" w:hAnsi="宋体" w:eastAsia="宋体" w:cs="宋体"/>
                        <w:sz w:val="20"/>
                      </w:rPr>
                    </w:pPr>
                    <w:r>
                      <w:rPr>
                        <w:rFonts w:ascii="宋体" w:hAnsi="宋体" w:eastAsia="宋体" w:cs="宋体"/>
                        <w:sz w:val="20"/>
                      </w:rPr>
                      <w:t xml:space="preserve">第 </w:t>
                    </w:r>
                    <w:r>
                      <w:rPr>
                        <w:rFonts w:ascii="宋体" w:hAnsi="宋体" w:eastAsia="宋体" w:cs="宋体"/>
                        <w:sz w:val="20"/>
                      </w:rPr>
                      <w:fldChar w:fldCharType="begin"/>
                    </w:r>
                    <w:r>
                      <w:rPr>
                        <w:rFonts w:ascii="宋体" w:hAnsi="宋体" w:eastAsia="宋体" w:cs="宋体"/>
                        <w:sz w:val="20"/>
                      </w:rPr>
                      <w:instrText xml:space="preserve"> PAGE  \* MERGEFORMAT </w:instrText>
                    </w:r>
                    <w:r>
                      <w:rPr>
                        <w:rFonts w:ascii="宋体" w:hAnsi="宋体" w:eastAsia="宋体" w:cs="宋体"/>
                        <w:sz w:val="20"/>
                      </w:rPr>
                      <w:fldChar w:fldCharType="separate"/>
                    </w:r>
                    <w:r>
                      <w:rPr>
                        <w:rFonts w:ascii="宋体" w:hAnsi="宋体" w:eastAsia="宋体" w:cs="宋体"/>
                        <w:sz w:val="20"/>
                      </w:rPr>
                      <w:t>32</w:t>
                    </w:r>
                    <w:r>
                      <w:rPr>
                        <w:rFonts w:ascii="宋体" w:hAnsi="宋体" w:eastAsia="宋体" w:cs="宋体"/>
                        <w:sz w:val="20"/>
                      </w:rPr>
                      <w:fldChar w:fldCharType="end"/>
                    </w:r>
                    <w:r>
                      <w:rPr>
                        <w:rFonts w:ascii="宋体" w:hAnsi="宋体" w:eastAsia="宋体" w:cs="宋体"/>
                        <w:sz w:val="20"/>
                      </w:rPr>
                      <w:t xml:space="preserve"> 页 共 </w:t>
                    </w:r>
                    <w:r>
                      <w:rPr>
                        <w:rFonts w:hint="eastAsia" w:ascii="宋体" w:hAnsi="宋体" w:eastAsia="宋体" w:cs="宋体"/>
                        <w:sz w:val="20"/>
                      </w:rPr>
                      <w:t>4</w:t>
                    </w:r>
                    <w:r>
                      <w:rPr>
                        <w:rFonts w:hint="eastAsia" w:ascii="宋体" w:hAnsi="宋体" w:eastAsia="宋体" w:cs="宋体"/>
                        <w:sz w:val="20"/>
                        <w:lang w:val="en-US" w:eastAsia="zh-CN"/>
                      </w:rPr>
                      <w:t>4</w:t>
                    </w:r>
                    <w:r>
                      <w:rPr>
                        <w:rFonts w:ascii="宋体" w:hAnsi="宋体" w:eastAsia="宋体" w:cs="宋体"/>
                        <w:sz w:val="20"/>
                      </w:rPr>
                      <w:t xml:space="preserve"> 页</w:t>
                    </w:r>
                  </w:p>
                </w:txbxContent>
              </v:textbox>
            </v:shape>
          </w:pict>
        </mc:Fallback>
      </mc:AlternateContent>
    </w:r>
    <w:r>
      <w:rPr>
        <w:rFonts w:hint="eastAsia" w:ascii="宋体" w:hAnsi="宋体" w:cs="宋体"/>
        <w:sz w:val="20"/>
        <w:szCs w:val="20"/>
      </w:rPr>
      <w:t>项目编号：ZYJS-SC2025007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BDA7">
    <w:pPr>
      <w:tabs>
        <w:tab w:val="center" w:pos="4153"/>
        <w:tab w:val="right" w:pos="8306"/>
      </w:tabs>
      <w:jc w:val="center"/>
      <w:rPr>
        <w:rFonts w:ascii="宋体" w:hAnsi="宋体" w:cs="宋体"/>
        <w:sz w:val="20"/>
        <w:szCs w:val="20"/>
      </w:rPr>
    </w:pPr>
    <w:r>
      <w:rPr>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7162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71625" cy="131445"/>
                      </a:xfrm>
                      <a:prstGeom prst="rect">
                        <a:avLst/>
                      </a:prstGeom>
                      <a:noFill/>
                      <a:ln>
                        <a:noFill/>
                      </a:ln>
                      <a:effectLst/>
                    </wps:spPr>
                    <wps:txbx>
                      <w:txbxContent>
                        <w:p w14:paraId="316A5F58">
                          <w:pPr>
                            <w:snapToGrid w:val="0"/>
                            <w:rPr>
                              <w:sz w:val="18"/>
                            </w:rPr>
                          </w:pP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0.35pt;width:123.75pt;mso-position-horizontal:center;mso-position-horizontal-relative:margin;z-index:251659264;mso-width-relative:page;mso-height-relative:page;" filled="f" stroked="f" coordsize="21600,21600" o:gfxdata="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ayHZfSAAAABAEAAA8AAAAAAAAAAQAgAAAA&#10;IgAAAGRycy9kb3ducmV2LnhtbFBLAQIUABQAAAAIAIdO4kBLkJgjEQIAABMEAAAOAAAAAAAAAAEA&#10;IAAAACEBAABkcnMvZTJvRG9jLnhtbFBLBQYAAAAABgAGAFkBAACkBQAAAAA=&#10;">
              <v:fill on="f" focussize="0,0"/>
              <v:stroke on="f"/>
              <v:imagedata o:title=""/>
              <o:lock v:ext="edit" aspectratio="f"/>
              <v:textbox inset="0mm,0mm,0mm,0mm" style="mso-fit-shape-to-text:t;">
                <w:txbxContent>
                  <w:p w14:paraId="316A5F58">
                    <w:pPr>
                      <w:snapToGrid w:val="0"/>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A9C93"/>
    <w:multiLevelType w:val="singleLevel"/>
    <w:tmpl w:val="EDFA9C93"/>
    <w:lvl w:ilvl="0" w:tentative="0">
      <w:start w:val="2"/>
      <w:numFmt w:val="chineseCounting"/>
      <w:suff w:val="nothing"/>
      <w:lvlText w:val="%1、"/>
      <w:lvlJc w:val="left"/>
      <w:rPr>
        <w:rFonts w:hint="eastAsia"/>
      </w:rPr>
    </w:lvl>
  </w:abstractNum>
  <w:abstractNum w:abstractNumId="1">
    <w:nsid w:val="F3B816B4"/>
    <w:multiLevelType w:val="singleLevel"/>
    <w:tmpl w:val="F3B816B4"/>
    <w:lvl w:ilvl="0" w:tentative="0">
      <w:start w:val="6"/>
      <w:numFmt w:val="decimal"/>
      <w:suff w:val="nothing"/>
      <w:lvlText w:val="%1、"/>
      <w:lvlJc w:val="left"/>
    </w:lvl>
  </w:abstractNum>
  <w:abstractNum w:abstractNumId="2">
    <w:nsid w:val="2F9A32F8"/>
    <w:multiLevelType w:val="singleLevel"/>
    <w:tmpl w:val="2F9A32F8"/>
    <w:lvl w:ilvl="0" w:tentative="0">
      <w:start w:val="1"/>
      <w:numFmt w:val="decimal"/>
      <w:suff w:val="nothing"/>
      <w:lvlText w:val="%1、"/>
      <w:lvlJc w:val="left"/>
    </w:lvl>
  </w:abstractNum>
  <w:abstractNum w:abstractNumId="3">
    <w:nsid w:val="58A120D1"/>
    <w:multiLevelType w:val="singleLevel"/>
    <w:tmpl w:val="58A120D1"/>
    <w:lvl w:ilvl="0" w:tentative="0">
      <w:start w:val="1"/>
      <w:numFmt w:val="decimal"/>
      <w:suff w:val="nothing"/>
      <w:lvlText w:val="%1、"/>
      <w:lvlJc w:val="left"/>
    </w:lvl>
  </w:abstractNum>
  <w:abstractNum w:abstractNumId="4">
    <w:nsid w:val="6710DEB1"/>
    <w:multiLevelType w:val="singleLevel"/>
    <w:tmpl w:val="6710DEB1"/>
    <w:lvl w:ilvl="0" w:tentative="0">
      <w:start w:val="4"/>
      <w:numFmt w:val="chineseCounting"/>
      <w:suff w:val="nothing"/>
      <w:lvlText w:val="%1、"/>
      <w:lvlJc w:val="left"/>
      <w:rPr>
        <w:rFonts w:hint="eastAsia"/>
      </w:rPr>
    </w:lvl>
  </w:abstractNum>
  <w:abstractNum w:abstractNumId="5">
    <w:nsid w:val="7E02C716"/>
    <w:multiLevelType w:val="singleLevel"/>
    <w:tmpl w:val="7E02C716"/>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Y2EwYmFkMmM1Y2U1MDEyZDNlNmUwMjY4MmNjOTUifQ=="/>
  </w:docVars>
  <w:rsids>
    <w:rsidRoot w:val="008623AE"/>
    <w:rsid w:val="000C4F88"/>
    <w:rsid w:val="001558E2"/>
    <w:rsid w:val="00174203"/>
    <w:rsid w:val="001D31E7"/>
    <w:rsid w:val="00383DF1"/>
    <w:rsid w:val="003F3CB5"/>
    <w:rsid w:val="00457B2D"/>
    <w:rsid w:val="004C2A01"/>
    <w:rsid w:val="00564611"/>
    <w:rsid w:val="006B5C0E"/>
    <w:rsid w:val="006F2FA5"/>
    <w:rsid w:val="006F731A"/>
    <w:rsid w:val="006F739F"/>
    <w:rsid w:val="007F6E98"/>
    <w:rsid w:val="008623AE"/>
    <w:rsid w:val="009F17FC"/>
    <w:rsid w:val="00A02B21"/>
    <w:rsid w:val="00A61001"/>
    <w:rsid w:val="00AD5FB5"/>
    <w:rsid w:val="00B00860"/>
    <w:rsid w:val="00B11C21"/>
    <w:rsid w:val="00B846A5"/>
    <w:rsid w:val="00BE1FA6"/>
    <w:rsid w:val="00C91A9A"/>
    <w:rsid w:val="00D33C81"/>
    <w:rsid w:val="00D42342"/>
    <w:rsid w:val="00D561ED"/>
    <w:rsid w:val="00D65E0D"/>
    <w:rsid w:val="00D73DD8"/>
    <w:rsid w:val="00D91D86"/>
    <w:rsid w:val="00D96CC1"/>
    <w:rsid w:val="00DB47C4"/>
    <w:rsid w:val="00E36224"/>
    <w:rsid w:val="00ED1886"/>
    <w:rsid w:val="00F3496C"/>
    <w:rsid w:val="00F52319"/>
    <w:rsid w:val="00F5457A"/>
    <w:rsid w:val="00FA7EAE"/>
    <w:rsid w:val="073559A8"/>
    <w:rsid w:val="07653909"/>
    <w:rsid w:val="07926D5B"/>
    <w:rsid w:val="08002343"/>
    <w:rsid w:val="084C17A1"/>
    <w:rsid w:val="086D5DA4"/>
    <w:rsid w:val="0A2A6CD5"/>
    <w:rsid w:val="0B0B0FED"/>
    <w:rsid w:val="0B6807A8"/>
    <w:rsid w:val="0B686E71"/>
    <w:rsid w:val="0DFD4D75"/>
    <w:rsid w:val="0FFE7443"/>
    <w:rsid w:val="105F4375"/>
    <w:rsid w:val="1104361C"/>
    <w:rsid w:val="11A35826"/>
    <w:rsid w:val="12796FAD"/>
    <w:rsid w:val="1311685F"/>
    <w:rsid w:val="15DF7B69"/>
    <w:rsid w:val="15E834EF"/>
    <w:rsid w:val="18410C58"/>
    <w:rsid w:val="18A627D4"/>
    <w:rsid w:val="1BF91AF2"/>
    <w:rsid w:val="1C8C7440"/>
    <w:rsid w:val="1D4F4307"/>
    <w:rsid w:val="1DE95977"/>
    <w:rsid w:val="1F72055C"/>
    <w:rsid w:val="1FE01582"/>
    <w:rsid w:val="20B646A4"/>
    <w:rsid w:val="220B14B0"/>
    <w:rsid w:val="22147A8D"/>
    <w:rsid w:val="23793661"/>
    <w:rsid w:val="24453624"/>
    <w:rsid w:val="24727696"/>
    <w:rsid w:val="24AA3898"/>
    <w:rsid w:val="257A2D8B"/>
    <w:rsid w:val="2590581D"/>
    <w:rsid w:val="26807154"/>
    <w:rsid w:val="27083761"/>
    <w:rsid w:val="277A68D1"/>
    <w:rsid w:val="27810A2D"/>
    <w:rsid w:val="27913042"/>
    <w:rsid w:val="27944C27"/>
    <w:rsid w:val="27971233"/>
    <w:rsid w:val="27A7649B"/>
    <w:rsid w:val="2841574B"/>
    <w:rsid w:val="299F653C"/>
    <w:rsid w:val="29C75EDD"/>
    <w:rsid w:val="29D07E9B"/>
    <w:rsid w:val="29F052DF"/>
    <w:rsid w:val="2A32072A"/>
    <w:rsid w:val="2AAE75F1"/>
    <w:rsid w:val="2DA1478B"/>
    <w:rsid w:val="2E4A1C6A"/>
    <w:rsid w:val="3102172D"/>
    <w:rsid w:val="31763FB8"/>
    <w:rsid w:val="31B80536"/>
    <w:rsid w:val="325C38F6"/>
    <w:rsid w:val="336A59DD"/>
    <w:rsid w:val="33A10184"/>
    <w:rsid w:val="348A511D"/>
    <w:rsid w:val="350C3AA1"/>
    <w:rsid w:val="3536662E"/>
    <w:rsid w:val="3578264B"/>
    <w:rsid w:val="35C46F0A"/>
    <w:rsid w:val="35D1792B"/>
    <w:rsid w:val="386078FE"/>
    <w:rsid w:val="387B7E15"/>
    <w:rsid w:val="3923098D"/>
    <w:rsid w:val="3B420DE9"/>
    <w:rsid w:val="3BE81B0D"/>
    <w:rsid w:val="3D5F6D61"/>
    <w:rsid w:val="3DAE273F"/>
    <w:rsid w:val="3E1C6B5E"/>
    <w:rsid w:val="3F603A91"/>
    <w:rsid w:val="3FA77337"/>
    <w:rsid w:val="40E31C1D"/>
    <w:rsid w:val="438E120B"/>
    <w:rsid w:val="44CC2609"/>
    <w:rsid w:val="452D12E2"/>
    <w:rsid w:val="461930B1"/>
    <w:rsid w:val="464373B9"/>
    <w:rsid w:val="4762649F"/>
    <w:rsid w:val="480D7D1C"/>
    <w:rsid w:val="49690C94"/>
    <w:rsid w:val="499D69E6"/>
    <w:rsid w:val="49C43F39"/>
    <w:rsid w:val="49E32289"/>
    <w:rsid w:val="4AF83208"/>
    <w:rsid w:val="4B003188"/>
    <w:rsid w:val="4BA43C63"/>
    <w:rsid w:val="4C14762D"/>
    <w:rsid w:val="4D760B2D"/>
    <w:rsid w:val="4DA92127"/>
    <w:rsid w:val="4E176A7E"/>
    <w:rsid w:val="4EA01147"/>
    <w:rsid w:val="52546A82"/>
    <w:rsid w:val="525557C4"/>
    <w:rsid w:val="53015E39"/>
    <w:rsid w:val="537C38C2"/>
    <w:rsid w:val="53D814CF"/>
    <w:rsid w:val="53FC0331"/>
    <w:rsid w:val="55675429"/>
    <w:rsid w:val="56240016"/>
    <w:rsid w:val="57D227FA"/>
    <w:rsid w:val="58A5249C"/>
    <w:rsid w:val="592853BB"/>
    <w:rsid w:val="5A155A24"/>
    <w:rsid w:val="5A5217DC"/>
    <w:rsid w:val="5A971D60"/>
    <w:rsid w:val="5B2F67BA"/>
    <w:rsid w:val="5BEA425C"/>
    <w:rsid w:val="5C0B108B"/>
    <w:rsid w:val="5D62169D"/>
    <w:rsid w:val="5D986AAB"/>
    <w:rsid w:val="5DEB2879"/>
    <w:rsid w:val="5F0B7104"/>
    <w:rsid w:val="5F75116C"/>
    <w:rsid w:val="605E11B9"/>
    <w:rsid w:val="608D5043"/>
    <w:rsid w:val="614C3478"/>
    <w:rsid w:val="616D7304"/>
    <w:rsid w:val="627F1535"/>
    <w:rsid w:val="62B66C66"/>
    <w:rsid w:val="63192F7F"/>
    <w:rsid w:val="63856AF3"/>
    <w:rsid w:val="63FD0E33"/>
    <w:rsid w:val="65501489"/>
    <w:rsid w:val="66C52377"/>
    <w:rsid w:val="673E7C8F"/>
    <w:rsid w:val="67D07995"/>
    <w:rsid w:val="67F76D9C"/>
    <w:rsid w:val="68596317"/>
    <w:rsid w:val="6A545DF5"/>
    <w:rsid w:val="6A6769B3"/>
    <w:rsid w:val="6E417FD4"/>
    <w:rsid w:val="6E475780"/>
    <w:rsid w:val="6E954F68"/>
    <w:rsid w:val="6F3A5EA7"/>
    <w:rsid w:val="70497109"/>
    <w:rsid w:val="70C02751"/>
    <w:rsid w:val="71812DB7"/>
    <w:rsid w:val="7185070D"/>
    <w:rsid w:val="7347028D"/>
    <w:rsid w:val="7398447C"/>
    <w:rsid w:val="74063951"/>
    <w:rsid w:val="746C47D9"/>
    <w:rsid w:val="751B7AC3"/>
    <w:rsid w:val="757525E8"/>
    <w:rsid w:val="75EE780F"/>
    <w:rsid w:val="773A2C17"/>
    <w:rsid w:val="77602E40"/>
    <w:rsid w:val="777415D2"/>
    <w:rsid w:val="793B15DA"/>
    <w:rsid w:val="7975414A"/>
    <w:rsid w:val="798E4991"/>
    <w:rsid w:val="7A0A1407"/>
    <w:rsid w:val="7A0C060C"/>
    <w:rsid w:val="7B0B7E2E"/>
    <w:rsid w:val="7D820208"/>
    <w:rsid w:val="7EF0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autoRedefine/>
    <w:qFormat/>
    <w:uiPriority w:val="0"/>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34"/>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37"/>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autoRedefine/>
    <w:qFormat/>
    <w:uiPriority w:val="99"/>
    <w:pPr>
      <w:jc w:val="left"/>
    </w:pPr>
    <w:rPr>
      <w:rFonts w:eastAsia="楷体_GB2312"/>
      <w:sz w:val="26"/>
      <w:szCs w:val="20"/>
    </w:rPr>
  </w:style>
  <w:style w:type="paragraph" w:styleId="8">
    <w:name w:val="Body Text"/>
    <w:basedOn w:val="1"/>
    <w:next w:val="9"/>
    <w:link w:val="36"/>
    <w:autoRedefine/>
    <w:qFormat/>
    <w:uiPriority w:val="0"/>
    <w:pPr>
      <w:tabs>
        <w:tab w:val="left" w:pos="567"/>
      </w:tabs>
      <w:spacing w:before="120" w:line="22" w:lineRule="atLeast"/>
    </w:pPr>
    <w:rPr>
      <w:rFonts w:ascii="宋体" w:hAnsi="宋体"/>
      <w:sz w:val="24"/>
      <w:szCs w:val="20"/>
    </w:rPr>
  </w:style>
  <w:style w:type="paragraph" w:styleId="9">
    <w:name w:val="toc 2"/>
    <w:basedOn w:val="1"/>
    <w:next w:val="1"/>
    <w:autoRedefine/>
    <w:qFormat/>
    <w:uiPriority w:val="39"/>
    <w:pPr>
      <w:tabs>
        <w:tab w:val="right" w:leader="dot" w:pos="8937"/>
      </w:tabs>
      <w:spacing w:line="312" w:lineRule="auto"/>
      <w:ind w:left="420" w:leftChars="200"/>
    </w:pPr>
  </w:style>
  <w:style w:type="paragraph" w:styleId="10">
    <w:name w:val="Body Text Indent"/>
    <w:basedOn w:val="1"/>
    <w:next w:val="1"/>
    <w:link w:val="40"/>
    <w:autoRedefine/>
    <w:qFormat/>
    <w:uiPriority w:val="0"/>
    <w:pPr>
      <w:spacing w:after="120"/>
      <w:ind w:left="420" w:leftChars="200"/>
    </w:pPr>
    <w:rPr>
      <w:kern w:val="0"/>
      <w:sz w:val="20"/>
    </w:rPr>
  </w:style>
  <w:style w:type="paragraph" w:styleId="11">
    <w:name w:val="Plain Text"/>
    <w:basedOn w:val="1"/>
    <w:next w:val="6"/>
    <w:link w:val="41"/>
    <w:autoRedefine/>
    <w:qFormat/>
    <w:uiPriority w:val="0"/>
    <w:rPr>
      <w:rFonts w:ascii="宋体" w:hAnsi="Courier New"/>
      <w:szCs w:val="20"/>
    </w:rPr>
  </w:style>
  <w:style w:type="paragraph" w:styleId="12">
    <w:name w:val="Date"/>
    <w:basedOn w:val="1"/>
    <w:next w:val="1"/>
    <w:link w:val="42"/>
    <w:autoRedefine/>
    <w:qFormat/>
    <w:uiPriority w:val="0"/>
    <w:rPr>
      <w:rFonts w:ascii="宋体" w:hAnsi="宋体" w:eastAsia="楷体_GB2312"/>
      <w:sz w:val="24"/>
      <w:szCs w:val="20"/>
    </w:rPr>
  </w:style>
  <w:style w:type="paragraph" w:styleId="13">
    <w:name w:val="Balloon Text"/>
    <w:basedOn w:val="1"/>
    <w:link w:val="38"/>
    <w:qFormat/>
    <w:uiPriority w:val="0"/>
    <w:rPr>
      <w:rFonts w:eastAsia="楷体_GB2312"/>
      <w:sz w:val="18"/>
      <w:szCs w:val="20"/>
    </w:rPr>
  </w:style>
  <w:style w:type="paragraph" w:styleId="14">
    <w:name w:val="footer"/>
    <w:basedOn w:val="1"/>
    <w:link w:val="43"/>
    <w:autoRedefine/>
    <w:qFormat/>
    <w:uiPriority w:val="0"/>
    <w:pPr>
      <w:tabs>
        <w:tab w:val="center" w:pos="4153"/>
        <w:tab w:val="right" w:pos="8306"/>
      </w:tabs>
      <w:snapToGrid w:val="0"/>
      <w:jc w:val="left"/>
    </w:pPr>
    <w:rPr>
      <w:rFonts w:eastAsia="楷体_GB2312"/>
      <w:sz w:val="18"/>
      <w:szCs w:val="20"/>
    </w:rPr>
  </w:style>
  <w:style w:type="paragraph" w:styleId="15">
    <w:name w:val="envelope return"/>
    <w:basedOn w:val="1"/>
    <w:autoRedefine/>
    <w:qFormat/>
    <w:uiPriority w:val="99"/>
    <w:pPr>
      <w:snapToGrid w:val="0"/>
    </w:pPr>
    <w:rPr>
      <w:rFonts w:ascii="Arial" w:hAnsi="Arial" w:cs="Arial"/>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left" w:pos="1260"/>
        <w:tab w:val="right" w:leader="dot" w:pos="8296"/>
      </w:tabs>
    </w:pPr>
  </w:style>
  <w:style w:type="paragraph" w:styleId="18">
    <w:name w:val="Normal (Web)"/>
    <w:basedOn w:val="1"/>
    <w:autoRedefine/>
    <w:qFormat/>
    <w:uiPriority w:val="0"/>
    <w:pPr>
      <w:spacing w:before="100" w:beforeAutospacing="1" w:after="100" w:afterAutospacing="1"/>
      <w:jc w:val="left"/>
    </w:pPr>
    <w:rPr>
      <w:kern w:val="0"/>
      <w:sz w:val="24"/>
    </w:rPr>
  </w:style>
  <w:style w:type="paragraph" w:styleId="19">
    <w:name w:val="index 1"/>
    <w:basedOn w:val="1"/>
    <w:next w:val="1"/>
    <w:autoRedefine/>
    <w:semiHidden/>
    <w:qFormat/>
    <w:uiPriority w:val="0"/>
    <w:rPr>
      <w:rFonts w:eastAsia="楷体_GB2312"/>
      <w:sz w:val="26"/>
      <w:szCs w:val="20"/>
    </w:rPr>
  </w:style>
  <w:style w:type="paragraph" w:styleId="20">
    <w:name w:val="annotation subject"/>
    <w:basedOn w:val="7"/>
    <w:next w:val="7"/>
    <w:link w:val="45"/>
    <w:autoRedefine/>
    <w:semiHidden/>
    <w:qFormat/>
    <w:uiPriority w:val="0"/>
    <w:rPr>
      <w:b/>
      <w:bCs/>
    </w:rPr>
  </w:style>
  <w:style w:type="paragraph" w:styleId="21">
    <w:name w:val="Body Text First Indent 2"/>
    <w:basedOn w:val="10"/>
    <w:next w:val="1"/>
    <w:link w:val="46"/>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page number"/>
    <w:autoRedefine/>
    <w:qFormat/>
    <w:uiPriority w:val="0"/>
  </w:style>
  <w:style w:type="character" w:styleId="27">
    <w:name w:val="FollowedHyperlink"/>
    <w:autoRedefine/>
    <w:qFormat/>
    <w:uiPriority w:val="0"/>
    <w:rPr>
      <w:color w:val="444444"/>
      <w:u w:val="none"/>
    </w:rPr>
  </w:style>
  <w:style w:type="character" w:styleId="28">
    <w:name w:val="Hyperlink"/>
    <w:autoRedefine/>
    <w:qFormat/>
    <w:uiPriority w:val="0"/>
    <w:rPr>
      <w:color w:val="444444"/>
      <w:u w:val="none"/>
    </w:rPr>
  </w:style>
  <w:style w:type="character" w:styleId="29">
    <w:name w:val="annotation reference"/>
    <w:autoRedefine/>
    <w:qFormat/>
    <w:uiPriority w:val="99"/>
    <w:rPr>
      <w:sz w:val="21"/>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样式 标题 1 + 宋体 居中 段前: 17 磅 段后: 16.5 磅"/>
    <w:basedOn w:val="2"/>
    <w:autoRedefine/>
    <w:qFormat/>
    <w:uiPriority w:val="0"/>
    <w:pPr>
      <w:widowControl/>
      <w:tabs>
        <w:tab w:val="left" w:pos="840"/>
      </w:tabs>
      <w:snapToGrid w:val="0"/>
      <w:ind w:left="840" w:hanging="420"/>
    </w:pPr>
    <w:rPr>
      <w:rFonts w:ascii="华文中宋" w:hAnsi="华文中宋" w:eastAsia="华文中宋" w:cs="宋体"/>
      <w:sz w:val="28"/>
    </w:rPr>
  </w:style>
  <w:style w:type="character" w:customStyle="1" w:styleId="32">
    <w:name w:val="标题 1 Char"/>
    <w:basedOn w:val="24"/>
    <w:link w:val="2"/>
    <w:autoRedefine/>
    <w:qFormat/>
    <w:uiPriority w:val="0"/>
    <w:rPr>
      <w:rFonts w:ascii="Times New Roman" w:hAnsi="Times New Roman" w:eastAsia="楷体_GB2312" w:cs="Times New Roman"/>
      <w:b/>
      <w:kern w:val="44"/>
      <w:sz w:val="44"/>
      <w:szCs w:val="20"/>
    </w:rPr>
  </w:style>
  <w:style w:type="character" w:customStyle="1" w:styleId="33">
    <w:name w:val="标题 2 Char"/>
    <w:basedOn w:val="24"/>
    <w:link w:val="3"/>
    <w:qFormat/>
    <w:uiPriority w:val="0"/>
    <w:rPr>
      <w:rFonts w:ascii="Arial" w:hAnsi="Arial" w:eastAsia="黑体" w:cs="Arial"/>
      <w:b/>
      <w:bCs/>
      <w:sz w:val="32"/>
      <w:szCs w:val="32"/>
    </w:rPr>
  </w:style>
  <w:style w:type="character" w:customStyle="1" w:styleId="34">
    <w:name w:val="标题 3 Char"/>
    <w:basedOn w:val="24"/>
    <w:link w:val="4"/>
    <w:autoRedefine/>
    <w:qFormat/>
    <w:uiPriority w:val="0"/>
    <w:rPr>
      <w:rFonts w:ascii="宋体" w:hAnsi="Times New Roman" w:eastAsia="宋体" w:cs="Times New Roman"/>
      <w:b/>
      <w:kern w:val="0"/>
      <w:sz w:val="24"/>
      <w:szCs w:val="20"/>
      <w:u w:val="single"/>
    </w:rPr>
  </w:style>
  <w:style w:type="character" w:customStyle="1" w:styleId="35">
    <w:name w:val="标题 4 Char"/>
    <w:basedOn w:val="24"/>
    <w:link w:val="5"/>
    <w:autoRedefine/>
    <w:qFormat/>
    <w:uiPriority w:val="0"/>
    <w:rPr>
      <w:rFonts w:ascii="Cambria" w:hAnsi="Cambria" w:eastAsia="宋体" w:cs="Times New Roman"/>
      <w:b/>
      <w:bCs/>
      <w:sz w:val="28"/>
      <w:szCs w:val="28"/>
    </w:rPr>
  </w:style>
  <w:style w:type="character" w:customStyle="1" w:styleId="36">
    <w:name w:val="正文文本 Char"/>
    <w:basedOn w:val="24"/>
    <w:link w:val="8"/>
    <w:autoRedefine/>
    <w:qFormat/>
    <w:uiPriority w:val="0"/>
    <w:rPr>
      <w:rFonts w:ascii="宋体" w:hAnsi="宋体" w:eastAsia="宋体" w:cs="Times New Roman"/>
      <w:sz w:val="24"/>
      <w:szCs w:val="20"/>
    </w:rPr>
  </w:style>
  <w:style w:type="character" w:customStyle="1" w:styleId="37">
    <w:name w:val="正文缩进 Char"/>
    <w:link w:val="6"/>
    <w:autoRedefine/>
    <w:qFormat/>
    <w:uiPriority w:val="0"/>
    <w:rPr>
      <w:rFonts w:ascii="宋体" w:hAnsi="Times New Roman" w:eastAsia="宋体" w:cs="Times New Roman"/>
      <w:kern w:val="0"/>
      <w:sz w:val="24"/>
      <w:szCs w:val="20"/>
    </w:rPr>
  </w:style>
  <w:style w:type="character" w:customStyle="1" w:styleId="38">
    <w:name w:val="批注框文本 Char"/>
    <w:basedOn w:val="24"/>
    <w:link w:val="13"/>
    <w:autoRedefine/>
    <w:qFormat/>
    <w:uiPriority w:val="0"/>
    <w:rPr>
      <w:rFonts w:ascii="Times New Roman" w:hAnsi="Times New Roman" w:eastAsia="楷体_GB2312" w:cs="Times New Roman"/>
      <w:sz w:val="18"/>
      <w:szCs w:val="20"/>
    </w:rPr>
  </w:style>
  <w:style w:type="character" w:customStyle="1" w:styleId="39">
    <w:name w:val="批注文字 Char"/>
    <w:basedOn w:val="24"/>
    <w:link w:val="7"/>
    <w:autoRedefine/>
    <w:qFormat/>
    <w:uiPriority w:val="99"/>
    <w:rPr>
      <w:rFonts w:ascii="Times New Roman" w:hAnsi="Times New Roman" w:eastAsia="楷体_GB2312" w:cs="Times New Roman"/>
      <w:sz w:val="26"/>
      <w:szCs w:val="20"/>
    </w:rPr>
  </w:style>
  <w:style w:type="character" w:customStyle="1" w:styleId="40">
    <w:name w:val="正文文本缩进 Char"/>
    <w:basedOn w:val="24"/>
    <w:link w:val="10"/>
    <w:autoRedefine/>
    <w:qFormat/>
    <w:uiPriority w:val="0"/>
    <w:rPr>
      <w:rFonts w:ascii="Times New Roman" w:hAnsi="Times New Roman" w:eastAsia="宋体" w:cs="Times New Roman"/>
      <w:kern w:val="0"/>
      <w:sz w:val="20"/>
      <w:szCs w:val="24"/>
    </w:rPr>
  </w:style>
  <w:style w:type="character" w:customStyle="1" w:styleId="41">
    <w:name w:val="纯文本 Char"/>
    <w:basedOn w:val="24"/>
    <w:link w:val="11"/>
    <w:autoRedefine/>
    <w:qFormat/>
    <w:uiPriority w:val="0"/>
    <w:rPr>
      <w:rFonts w:ascii="宋体" w:hAnsi="Courier New" w:eastAsia="宋体" w:cs="Times New Roman"/>
      <w:szCs w:val="20"/>
    </w:rPr>
  </w:style>
  <w:style w:type="character" w:customStyle="1" w:styleId="42">
    <w:name w:val="日期 Char"/>
    <w:basedOn w:val="24"/>
    <w:link w:val="12"/>
    <w:autoRedefine/>
    <w:qFormat/>
    <w:uiPriority w:val="0"/>
    <w:rPr>
      <w:rFonts w:ascii="宋体" w:hAnsi="宋体" w:eastAsia="楷体_GB2312" w:cs="Times New Roman"/>
      <w:sz w:val="24"/>
      <w:szCs w:val="20"/>
    </w:rPr>
  </w:style>
  <w:style w:type="character" w:customStyle="1" w:styleId="43">
    <w:name w:val="页脚 Char"/>
    <w:basedOn w:val="24"/>
    <w:link w:val="14"/>
    <w:qFormat/>
    <w:uiPriority w:val="0"/>
    <w:rPr>
      <w:rFonts w:ascii="Times New Roman" w:hAnsi="Times New Roman" w:eastAsia="楷体_GB2312" w:cs="Times New Roman"/>
      <w:sz w:val="18"/>
      <w:szCs w:val="20"/>
    </w:rPr>
  </w:style>
  <w:style w:type="character" w:customStyle="1" w:styleId="44">
    <w:name w:val="页眉 Char"/>
    <w:basedOn w:val="24"/>
    <w:link w:val="16"/>
    <w:autoRedefine/>
    <w:qFormat/>
    <w:uiPriority w:val="0"/>
    <w:rPr>
      <w:rFonts w:ascii="Times New Roman" w:hAnsi="Times New Roman" w:eastAsia="宋体" w:cs="Times New Roman"/>
      <w:sz w:val="18"/>
      <w:szCs w:val="18"/>
    </w:rPr>
  </w:style>
  <w:style w:type="character" w:customStyle="1" w:styleId="45">
    <w:name w:val="批注主题 Char"/>
    <w:basedOn w:val="39"/>
    <w:link w:val="20"/>
    <w:autoRedefine/>
    <w:semiHidden/>
    <w:qFormat/>
    <w:uiPriority w:val="0"/>
    <w:rPr>
      <w:rFonts w:ascii="Times New Roman" w:hAnsi="Times New Roman" w:eastAsia="楷体_GB2312" w:cs="Times New Roman"/>
      <w:b/>
      <w:bCs/>
      <w:sz w:val="26"/>
      <w:szCs w:val="20"/>
    </w:rPr>
  </w:style>
  <w:style w:type="character" w:customStyle="1" w:styleId="46">
    <w:name w:val="正文首行缩进 2 Char"/>
    <w:basedOn w:val="40"/>
    <w:link w:val="21"/>
    <w:autoRedefine/>
    <w:qFormat/>
    <w:uiPriority w:val="0"/>
    <w:rPr>
      <w:rFonts w:ascii="Times New Roman" w:hAnsi="Times New Roman" w:eastAsia="宋体" w:cs="Times New Roman"/>
      <w:kern w:val="0"/>
      <w:sz w:val="20"/>
      <w:szCs w:val="24"/>
    </w:rPr>
  </w:style>
  <w:style w:type="character" w:customStyle="1" w:styleId="47">
    <w:name w:val="纯文本 Char1"/>
    <w:autoRedefine/>
    <w:qFormat/>
    <w:uiPriority w:val="0"/>
    <w:rPr>
      <w:rFonts w:ascii="宋体" w:hAnsi="Courier New" w:cs="Courier New"/>
      <w:kern w:val="2"/>
      <w:sz w:val="21"/>
      <w:szCs w:val="21"/>
    </w:rPr>
  </w:style>
  <w:style w:type="character" w:customStyle="1" w:styleId="48">
    <w:name w:val="style21"/>
    <w:autoRedefine/>
    <w:qFormat/>
    <w:uiPriority w:val="0"/>
    <w:rPr>
      <w:color w:val="0000A0"/>
      <w:sz w:val="33"/>
      <w:szCs w:val="33"/>
    </w:rPr>
  </w:style>
  <w:style w:type="character" w:customStyle="1" w:styleId="49">
    <w:name w:val="font01"/>
    <w:autoRedefine/>
    <w:qFormat/>
    <w:uiPriority w:val="0"/>
    <w:rPr>
      <w:rFonts w:hint="eastAsia" w:ascii="宋体" w:hAnsi="宋体" w:eastAsia="宋体" w:cs="宋体"/>
      <w:color w:val="000000"/>
      <w:sz w:val="20"/>
      <w:szCs w:val="20"/>
      <w:u w:val="none"/>
    </w:rPr>
  </w:style>
  <w:style w:type="character" w:customStyle="1" w:styleId="50">
    <w:name w:val="正文缩进 字符"/>
    <w:autoRedefine/>
    <w:qFormat/>
    <w:uiPriority w:val="0"/>
    <w:rPr>
      <w:rFonts w:ascii="Times New Roman" w:hAnsi="Times New Roman" w:eastAsia="宋体" w:cs="Times New Roman"/>
      <w:sz w:val="24"/>
      <w:szCs w:val="21"/>
    </w:rPr>
  </w:style>
  <w:style w:type="character" w:customStyle="1" w:styleId="51">
    <w:name w:val="font101"/>
    <w:autoRedefine/>
    <w:qFormat/>
    <w:uiPriority w:val="0"/>
    <w:rPr>
      <w:rFonts w:hint="eastAsia" w:ascii="宋体" w:hAnsi="宋体" w:eastAsia="宋体" w:cs="宋体"/>
      <w:color w:val="000000"/>
      <w:sz w:val="20"/>
      <w:szCs w:val="20"/>
      <w:u w:val="none"/>
    </w:rPr>
  </w:style>
  <w:style w:type="character" w:customStyle="1" w:styleId="52">
    <w:name w:val="dr"/>
    <w:autoRedefine/>
    <w:qFormat/>
    <w:uiPriority w:val="0"/>
  </w:style>
  <w:style w:type="character" w:customStyle="1" w:styleId="53">
    <w:name w:val="font91"/>
    <w:autoRedefine/>
    <w:qFormat/>
    <w:uiPriority w:val="0"/>
    <w:rPr>
      <w:rFonts w:hint="default" w:ascii="Arial" w:hAnsi="Arial" w:cs="Arial"/>
      <w:color w:val="000000"/>
      <w:sz w:val="20"/>
      <w:szCs w:val="20"/>
      <w:u w:val="none"/>
    </w:rPr>
  </w:style>
  <w:style w:type="character" w:customStyle="1" w:styleId="54">
    <w:name w:val="font31"/>
    <w:autoRedefine/>
    <w:qFormat/>
    <w:uiPriority w:val="0"/>
    <w:rPr>
      <w:rFonts w:ascii="Arial Unicode MS" w:hAnsi="Arial Unicode MS" w:eastAsia="Arial Unicode MS" w:cs="Arial Unicode MS"/>
      <w:color w:val="000000"/>
      <w:sz w:val="20"/>
      <w:szCs w:val="20"/>
      <w:u w:val="none"/>
    </w:rPr>
  </w:style>
  <w:style w:type="character" w:customStyle="1" w:styleId="55">
    <w:name w:val="font81"/>
    <w:autoRedefine/>
    <w:qFormat/>
    <w:uiPriority w:val="0"/>
    <w:rPr>
      <w:rFonts w:hint="eastAsia" w:ascii="宋体" w:hAnsi="宋体" w:eastAsia="宋体" w:cs="宋体"/>
      <w:color w:val="000000"/>
      <w:sz w:val="18"/>
      <w:szCs w:val="18"/>
      <w:u w:val="none"/>
    </w:rPr>
  </w:style>
  <w:style w:type="character" w:customStyle="1" w:styleId="56">
    <w:name w:val="font21"/>
    <w:basedOn w:val="24"/>
    <w:qFormat/>
    <w:uiPriority w:val="0"/>
    <w:rPr>
      <w:rFonts w:hint="default" w:ascii="Arial" w:hAnsi="Arial" w:cs="Arial"/>
      <w:color w:val="000000"/>
      <w:sz w:val="20"/>
      <w:szCs w:val="20"/>
      <w:u w:val="none"/>
    </w:rPr>
  </w:style>
  <w:style w:type="paragraph" w:styleId="57">
    <w:name w:val="List Paragraph"/>
    <w:basedOn w:val="1"/>
    <w:autoRedefine/>
    <w:qFormat/>
    <w:uiPriority w:val="34"/>
    <w:pPr>
      <w:ind w:firstLine="420" w:firstLineChars="200"/>
    </w:pPr>
  </w:style>
  <w:style w:type="paragraph" w:customStyle="1" w:styleId="58">
    <w:name w:val="Char Char Char1 Char Char Char Char Char Char Char Char Char Char"/>
    <w:basedOn w:val="1"/>
    <w:autoRedefine/>
    <w:qFormat/>
    <w:uiPriority w:val="0"/>
    <w:rPr>
      <w:rFonts w:ascii="Tahoma" w:hAnsi="Tahoma"/>
      <w:sz w:val="24"/>
      <w:szCs w:val="20"/>
    </w:rPr>
  </w:style>
  <w:style w:type="paragraph" w:customStyle="1" w:styleId="59">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60">
    <w:name w:val="列出段落1"/>
    <w:basedOn w:val="1"/>
    <w:autoRedefine/>
    <w:qFormat/>
    <w:uiPriority w:val="0"/>
    <w:pPr>
      <w:ind w:firstLine="420" w:firstLineChars="200"/>
    </w:pPr>
    <w:rPr>
      <w:rFonts w:ascii="Calibri" w:hAnsi="Calibri"/>
      <w:szCs w:val="22"/>
    </w:rPr>
  </w:style>
  <w:style w:type="paragraph" w:customStyle="1" w:styleId="61">
    <w:name w:val="图"/>
    <w:basedOn w:val="1"/>
    <w:autoRedefine/>
    <w:qFormat/>
    <w:uiPriority w:val="0"/>
    <w:pPr>
      <w:keepNext/>
      <w:adjustRightInd w:val="0"/>
      <w:spacing w:before="60" w:after="60" w:line="300" w:lineRule="auto"/>
      <w:jc w:val="center"/>
      <w:textAlignment w:val="center"/>
    </w:pPr>
    <w:rPr>
      <w:snapToGrid w:val="0"/>
      <w:spacing w:val="20"/>
      <w:sz w:val="24"/>
    </w:rPr>
  </w:style>
  <w:style w:type="paragraph" w:customStyle="1" w:styleId="62">
    <w:name w:val="Char"/>
    <w:basedOn w:val="1"/>
    <w:autoRedefine/>
    <w:qFormat/>
    <w:uiPriority w:val="0"/>
    <w:pPr>
      <w:tabs>
        <w:tab w:val="left" w:pos="360"/>
      </w:tabs>
    </w:pPr>
    <w:rPr>
      <w:sz w:val="24"/>
    </w:rPr>
  </w:style>
  <w:style w:type="paragraph" w:customStyle="1" w:styleId="6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64">
    <w:name w:val="PlainText"/>
    <w:basedOn w:val="1"/>
    <w:autoRedefine/>
    <w:qFormat/>
    <w:uiPriority w:val="0"/>
    <w:rPr>
      <w:rFonts w:ascii="宋体" w:hAnsi="Courier New"/>
    </w:rPr>
  </w:style>
  <w:style w:type="paragraph" w:customStyle="1" w:styleId="65">
    <w:name w:val="材料标题"/>
    <w:basedOn w:val="1"/>
    <w:autoRedefine/>
    <w:qFormat/>
    <w:uiPriority w:val="0"/>
    <w:pPr>
      <w:adjustRightInd w:val="0"/>
      <w:snapToGrid w:val="0"/>
      <w:spacing w:line="700" w:lineRule="exact"/>
      <w:jc w:val="center"/>
    </w:pPr>
    <w:rPr>
      <w:rFonts w:ascii="方正小标宋简体" w:eastAsia="方正小标宋简体"/>
      <w:color w:val="000000"/>
      <w:sz w:val="44"/>
      <w:szCs w:val="44"/>
    </w:rPr>
  </w:style>
  <w:style w:type="paragraph" w:customStyle="1" w:styleId="66">
    <w:name w:val="成文日期"/>
    <w:basedOn w:val="1"/>
    <w:autoRedefine/>
    <w:qFormat/>
    <w:uiPriority w:val="0"/>
    <w:pPr>
      <w:ind w:right="400" w:rightChars="400"/>
      <w:jc w:val="right"/>
    </w:pPr>
  </w:style>
  <w:style w:type="paragraph" w:customStyle="1" w:styleId="67">
    <w:name w:val="List Paragraph1"/>
    <w:basedOn w:val="1"/>
    <w:autoRedefine/>
    <w:qFormat/>
    <w:uiPriority w:val="34"/>
    <w:pPr>
      <w:ind w:firstLine="420" w:firstLineChars="200"/>
    </w:pPr>
  </w:style>
  <w:style w:type="character" w:customStyle="1" w:styleId="68">
    <w:name w:val="font41"/>
    <w:basedOn w:val="24"/>
    <w:qFormat/>
    <w:uiPriority w:val="0"/>
    <w:rPr>
      <w:rFonts w:hint="eastAsia" w:ascii="宋体" w:hAnsi="宋体" w:eastAsia="宋体" w:cs="宋体"/>
      <w:color w:val="000000"/>
      <w:sz w:val="21"/>
      <w:szCs w:val="21"/>
      <w:u w:val="none"/>
    </w:rPr>
  </w:style>
  <w:style w:type="character" w:customStyle="1" w:styleId="69">
    <w:name w:val="font51"/>
    <w:basedOn w:val="24"/>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22468</Words>
  <Characters>23500</Characters>
  <Lines>34</Lines>
  <Paragraphs>56</Paragraphs>
  <TotalTime>8</TotalTime>
  <ScaleCrop>false</ScaleCrop>
  <LinksUpToDate>false</LinksUpToDate>
  <CharactersWithSpaces>24738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2021-05-20T07:36:00Z</dcterms:created>
  <dc:creator>Administrator</dc:creator>
  <cp:lastModifiedBy>左学文</cp:lastModifiedBy>
  <cp:lastPrinted>2023-05-15T12:39:00Z</cp:lastPrinted>
  <dcterms:modified xsi:type="dcterms:W3CDTF">2025-01-08T04:34:31Z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04A9B5D90C854637AA18E1E73B048EF8_13</vt:lpwstr>
  </property>
  <property fmtid="{D5CDD505-2E9C-101B-9397-08002B2CF9AE}" pid="4" name="KSOTemplateDocerSaveRecord">
    <vt:lpwstr>eyJoZGlkIjoiYjc1YTZhOTFhNTJmMzZlMTNiYjkzYzk2MWY4NDQ1NzEiLCJ1c2VySWQiOiIyOTQ2NTM1OTUifQ==</vt:lpwstr>
  </property>
</Properties>
</file>